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5CDEE">
      <w:pPr>
        <w:jc w:val="center"/>
        <w:rPr>
          <w:rFonts w:ascii="宋体"/>
          <w:b/>
          <w:bCs/>
          <w:color w:val="000000"/>
          <w:sz w:val="44"/>
          <w:szCs w:val="44"/>
        </w:rPr>
      </w:pPr>
      <w:r>
        <w:rPr>
          <w:rFonts w:hint="eastAsia" w:ascii="宋体"/>
          <w:b/>
          <w:bCs/>
          <w:color w:val="000000"/>
          <w:sz w:val="44"/>
          <w:szCs w:val="44"/>
          <w:lang w:val="en-US" w:eastAsia="zh-CN"/>
        </w:rPr>
        <w:t xml:space="preserve"> </w:t>
      </w:r>
      <w:r>
        <w:rPr>
          <w:rFonts w:hint="eastAsia" w:ascii="宋体"/>
          <w:b/>
          <w:bCs/>
          <w:color w:val="000000"/>
          <w:sz w:val="44"/>
          <w:szCs w:val="44"/>
        </w:rPr>
        <w:t>目    录</w:t>
      </w:r>
    </w:p>
    <w:p w14:paraId="5294ADA0">
      <w:pPr>
        <w:jc w:val="center"/>
        <w:rPr>
          <w:rFonts w:ascii="宋体"/>
          <w:b/>
          <w:bCs/>
          <w:color w:val="000000"/>
          <w:sz w:val="44"/>
          <w:szCs w:val="44"/>
        </w:rPr>
      </w:pPr>
    </w:p>
    <w:p w14:paraId="537B8F45">
      <w:pPr>
        <w:pStyle w:val="30"/>
        <w:spacing w:line="960" w:lineRule="auto"/>
        <w:rPr>
          <w:rFonts w:ascii="Times New Roman"/>
          <w:bCs w:val="0"/>
          <w:color w:val="auto"/>
          <w:kern w:val="2"/>
          <w:sz w:val="32"/>
          <w:szCs w:val="32"/>
        </w:rPr>
      </w:pPr>
      <w:r>
        <w:rPr>
          <w:rFonts w:hint="eastAsia"/>
        </w:rPr>
        <w:fldChar w:fldCharType="begin"/>
      </w:r>
      <w:r>
        <w:rPr>
          <w:rFonts w:hint="eastAsia"/>
        </w:rPr>
        <w:instrText xml:space="preserve"> TOC \o "1-3" \h \z </w:instrText>
      </w:r>
      <w:r>
        <w:rPr>
          <w:rFonts w:hint="eastAsia"/>
        </w:rPr>
        <w:fldChar w:fldCharType="separate"/>
      </w:r>
      <w:r>
        <w:fldChar w:fldCharType="begin"/>
      </w:r>
      <w:r>
        <w:instrText xml:space="preserve"> HYPERLINK \l "_Toc291754344" </w:instrText>
      </w:r>
      <w:r>
        <w:fldChar w:fldCharType="separate"/>
      </w:r>
      <w:r>
        <w:rPr>
          <w:rFonts w:hint="eastAsia"/>
          <w:b/>
          <w:sz w:val="32"/>
          <w:szCs w:val="32"/>
        </w:rPr>
        <w:t>第一章</w:t>
      </w:r>
      <w:r>
        <w:rPr>
          <w:rFonts w:hint="eastAsia"/>
          <w:b/>
          <w:sz w:val="32"/>
          <w:szCs w:val="32"/>
          <w:lang w:val="en-US" w:eastAsia="zh-CN"/>
        </w:rPr>
        <w:t xml:space="preserve"> </w:t>
      </w:r>
      <w:r>
        <w:rPr>
          <w:rFonts w:hint="eastAsia"/>
          <w:b/>
          <w:sz w:val="32"/>
          <w:szCs w:val="32"/>
        </w:rPr>
        <w:t>比选邀请书</w:t>
      </w:r>
      <w:r>
        <w:rPr>
          <w:sz w:val="32"/>
          <w:szCs w:val="32"/>
        </w:rPr>
        <w:tab/>
      </w:r>
      <w:r>
        <w:rPr>
          <w:sz w:val="32"/>
          <w:szCs w:val="32"/>
        </w:rPr>
        <w:fldChar w:fldCharType="begin"/>
      </w:r>
      <w:r>
        <w:rPr>
          <w:sz w:val="32"/>
          <w:szCs w:val="32"/>
        </w:rPr>
        <w:instrText xml:space="preserve"> PAGEREF _Toc291754344 \h </w:instrText>
      </w:r>
      <w:r>
        <w:rPr>
          <w:sz w:val="32"/>
          <w:szCs w:val="32"/>
        </w:rPr>
        <w:fldChar w:fldCharType="separate"/>
      </w:r>
      <w:r>
        <w:rPr>
          <w:sz w:val="32"/>
          <w:szCs w:val="32"/>
        </w:rPr>
        <w:t>- 1 -</w:t>
      </w:r>
      <w:r>
        <w:rPr>
          <w:sz w:val="32"/>
          <w:szCs w:val="32"/>
        </w:rPr>
        <w:fldChar w:fldCharType="end"/>
      </w:r>
      <w:r>
        <w:rPr>
          <w:sz w:val="32"/>
          <w:szCs w:val="32"/>
        </w:rPr>
        <w:fldChar w:fldCharType="end"/>
      </w:r>
    </w:p>
    <w:p w14:paraId="21D1EC2B">
      <w:pPr>
        <w:pStyle w:val="30"/>
        <w:spacing w:line="960" w:lineRule="auto"/>
        <w:rPr>
          <w:rFonts w:ascii="Times New Roman"/>
          <w:bCs w:val="0"/>
          <w:color w:val="auto"/>
          <w:kern w:val="2"/>
          <w:sz w:val="32"/>
          <w:szCs w:val="32"/>
        </w:rPr>
      </w:pPr>
      <w:r>
        <w:fldChar w:fldCharType="begin"/>
      </w:r>
      <w:r>
        <w:instrText xml:space="preserve"> HYPERLINK \l "_Toc291754345" </w:instrText>
      </w:r>
      <w:r>
        <w:fldChar w:fldCharType="separate"/>
      </w:r>
      <w:r>
        <w:rPr>
          <w:rFonts w:hint="eastAsia"/>
          <w:b/>
          <w:sz w:val="32"/>
          <w:szCs w:val="32"/>
        </w:rPr>
        <w:t>第二章</w:t>
      </w:r>
      <w:r>
        <w:rPr>
          <w:rFonts w:hint="eastAsia"/>
          <w:b/>
          <w:sz w:val="32"/>
          <w:szCs w:val="32"/>
          <w:lang w:val="en-US" w:eastAsia="zh-CN"/>
        </w:rPr>
        <w:t xml:space="preserve"> </w:t>
      </w:r>
      <w:r>
        <w:rPr>
          <w:rFonts w:hint="eastAsia"/>
          <w:b/>
          <w:sz w:val="32"/>
          <w:szCs w:val="32"/>
        </w:rPr>
        <w:t>比选须知前附表</w:t>
      </w:r>
      <w:r>
        <w:rPr>
          <w:sz w:val="32"/>
          <w:szCs w:val="32"/>
        </w:rPr>
        <w:tab/>
      </w:r>
      <w:r>
        <w:rPr>
          <w:sz w:val="32"/>
          <w:szCs w:val="32"/>
        </w:rPr>
        <w:fldChar w:fldCharType="begin"/>
      </w:r>
      <w:r>
        <w:rPr>
          <w:sz w:val="32"/>
          <w:szCs w:val="32"/>
        </w:rPr>
        <w:instrText xml:space="preserve"> PAGEREF _Toc291754345 \h </w:instrText>
      </w:r>
      <w:r>
        <w:rPr>
          <w:sz w:val="32"/>
          <w:szCs w:val="32"/>
        </w:rPr>
        <w:fldChar w:fldCharType="separate"/>
      </w:r>
      <w:r>
        <w:rPr>
          <w:sz w:val="32"/>
          <w:szCs w:val="32"/>
        </w:rPr>
        <w:t>- 2 -</w:t>
      </w:r>
      <w:r>
        <w:rPr>
          <w:sz w:val="32"/>
          <w:szCs w:val="32"/>
        </w:rPr>
        <w:fldChar w:fldCharType="end"/>
      </w:r>
      <w:r>
        <w:rPr>
          <w:sz w:val="32"/>
          <w:szCs w:val="32"/>
        </w:rPr>
        <w:fldChar w:fldCharType="end"/>
      </w:r>
    </w:p>
    <w:p w14:paraId="0D20D2C7">
      <w:pPr>
        <w:pStyle w:val="30"/>
        <w:spacing w:line="960" w:lineRule="auto"/>
        <w:rPr>
          <w:rFonts w:ascii="Times New Roman"/>
          <w:bCs w:val="0"/>
          <w:color w:val="auto"/>
          <w:kern w:val="2"/>
          <w:sz w:val="32"/>
          <w:szCs w:val="32"/>
        </w:rPr>
      </w:pPr>
      <w:r>
        <w:fldChar w:fldCharType="begin"/>
      </w:r>
      <w:r>
        <w:instrText xml:space="preserve"> HYPERLINK \l "_Toc291754346" </w:instrText>
      </w:r>
      <w:r>
        <w:fldChar w:fldCharType="separate"/>
      </w:r>
      <w:r>
        <w:rPr>
          <w:rFonts w:hint="eastAsia"/>
          <w:b/>
          <w:sz w:val="32"/>
          <w:szCs w:val="32"/>
        </w:rPr>
        <w:t>第三章</w:t>
      </w:r>
      <w:r>
        <w:rPr>
          <w:rFonts w:hint="eastAsia"/>
          <w:b/>
          <w:sz w:val="32"/>
          <w:szCs w:val="32"/>
          <w:lang w:val="en-US" w:eastAsia="zh-CN"/>
        </w:rPr>
        <w:t xml:space="preserve"> </w:t>
      </w:r>
      <w:r>
        <w:rPr>
          <w:rFonts w:hint="eastAsia"/>
          <w:b/>
          <w:sz w:val="32"/>
          <w:szCs w:val="32"/>
        </w:rPr>
        <w:t>比选须知</w:t>
      </w:r>
      <w:r>
        <w:rPr>
          <w:sz w:val="32"/>
          <w:szCs w:val="32"/>
        </w:rPr>
        <w:tab/>
      </w:r>
      <w:r>
        <w:rPr>
          <w:sz w:val="32"/>
          <w:szCs w:val="32"/>
        </w:rPr>
        <w:fldChar w:fldCharType="begin"/>
      </w:r>
      <w:r>
        <w:rPr>
          <w:sz w:val="32"/>
          <w:szCs w:val="32"/>
        </w:rPr>
        <w:instrText xml:space="preserve"> PAGEREF _Toc291754346 \h </w:instrText>
      </w:r>
      <w:r>
        <w:rPr>
          <w:sz w:val="32"/>
          <w:szCs w:val="32"/>
        </w:rPr>
        <w:fldChar w:fldCharType="separate"/>
      </w:r>
      <w:r>
        <w:rPr>
          <w:sz w:val="32"/>
          <w:szCs w:val="32"/>
        </w:rPr>
        <w:t>- 4 -</w:t>
      </w:r>
      <w:r>
        <w:rPr>
          <w:sz w:val="32"/>
          <w:szCs w:val="32"/>
        </w:rPr>
        <w:fldChar w:fldCharType="end"/>
      </w:r>
      <w:r>
        <w:rPr>
          <w:sz w:val="32"/>
          <w:szCs w:val="32"/>
        </w:rPr>
        <w:fldChar w:fldCharType="end"/>
      </w:r>
    </w:p>
    <w:p w14:paraId="6C4A06D9">
      <w:pPr>
        <w:pStyle w:val="30"/>
        <w:spacing w:line="960" w:lineRule="auto"/>
        <w:rPr>
          <w:rFonts w:ascii="Times New Roman"/>
          <w:bCs w:val="0"/>
          <w:color w:val="auto"/>
          <w:kern w:val="2"/>
          <w:sz w:val="32"/>
          <w:szCs w:val="32"/>
        </w:rPr>
      </w:pPr>
      <w:r>
        <w:fldChar w:fldCharType="begin"/>
      </w:r>
      <w:r>
        <w:instrText xml:space="preserve"> HYPERLINK \l "_Toc291754368" </w:instrText>
      </w:r>
      <w:r>
        <w:fldChar w:fldCharType="separate"/>
      </w:r>
      <w:r>
        <w:rPr>
          <w:rFonts w:hint="eastAsia"/>
          <w:b/>
          <w:sz w:val="32"/>
          <w:szCs w:val="32"/>
        </w:rPr>
        <w:t>第四章</w:t>
      </w:r>
      <w:r>
        <w:rPr>
          <w:rFonts w:hint="eastAsia"/>
          <w:b/>
          <w:sz w:val="32"/>
          <w:szCs w:val="32"/>
          <w:lang w:val="en-US" w:eastAsia="zh-CN"/>
        </w:rPr>
        <w:t xml:space="preserve"> </w:t>
      </w:r>
      <w:r>
        <w:rPr>
          <w:rFonts w:hint="eastAsia"/>
          <w:b/>
          <w:sz w:val="32"/>
          <w:szCs w:val="32"/>
        </w:rPr>
        <w:t>技术规范</w:t>
      </w:r>
      <w:r>
        <w:rPr>
          <w:sz w:val="32"/>
          <w:szCs w:val="32"/>
        </w:rPr>
        <w:tab/>
      </w:r>
      <w:r>
        <w:rPr>
          <w:sz w:val="32"/>
          <w:szCs w:val="32"/>
        </w:rPr>
        <w:fldChar w:fldCharType="begin"/>
      </w:r>
      <w:r>
        <w:rPr>
          <w:sz w:val="32"/>
          <w:szCs w:val="32"/>
        </w:rPr>
        <w:instrText xml:space="preserve"> PAGEREF _Toc291754368 \h </w:instrText>
      </w:r>
      <w:r>
        <w:rPr>
          <w:sz w:val="32"/>
          <w:szCs w:val="32"/>
        </w:rPr>
        <w:fldChar w:fldCharType="separate"/>
      </w:r>
      <w:r>
        <w:rPr>
          <w:sz w:val="32"/>
          <w:szCs w:val="32"/>
        </w:rPr>
        <w:t>- 9 -</w:t>
      </w:r>
      <w:r>
        <w:rPr>
          <w:sz w:val="32"/>
          <w:szCs w:val="32"/>
        </w:rPr>
        <w:fldChar w:fldCharType="end"/>
      </w:r>
      <w:r>
        <w:rPr>
          <w:sz w:val="32"/>
          <w:szCs w:val="32"/>
        </w:rPr>
        <w:fldChar w:fldCharType="end"/>
      </w:r>
    </w:p>
    <w:p w14:paraId="664BCCD7">
      <w:pPr>
        <w:pStyle w:val="30"/>
        <w:spacing w:line="960" w:lineRule="auto"/>
        <w:rPr>
          <w:rFonts w:ascii="Times New Roman"/>
          <w:bCs w:val="0"/>
          <w:color w:val="auto"/>
          <w:kern w:val="2"/>
          <w:sz w:val="32"/>
          <w:szCs w:val="32"/>
        </w:rPr>
      </w:pPr>
      <w:r>
        <w:fldChar w:fldCharType="begin"/>
      </w:r>
      <w:r>
        <w:instrText xml:space="preserve"> HYPERLINK \l "_Toc291754369" </w:instrText>
      </w:r>
      <w:r>
        <w:fldChar w:fldCharType="separate"/>
      </w:r>
      <w:r>
        <w:rPr>
          <w:rFonts w:hint="eastAsia"/>
          <w:b/>
          <w:sz w:val="32"/>
          <w:szCs w:val="32"/>
        </w:rPr>
        <w:t>第五章</w:t>
      </w:r>
      <w:r>
        <w:rPr>
          <w:rFonts w:hint="eastAsia"/>
          <w:b/>
          <w:sz w:val="32"/>
          <w:szCs w:val="32"/>
          <w:lang w:val="en-US" w:eastAsia="zh-CN"/>
        </w:rPr>
        <w:t xml:space="preserve"> </w:t>
      </w:r>
      <w:r>
        <w:rPr>
          <w:rFonts w:hint="eastAsia"/>
          <w:b/>
          <w:sz w:val="32"/>
          <w:szCs w:val="32"/>
        </w:rPr>
        <w:t>比选响应文件部分格式</w:t>
      </w:r>
      <w:r>
        <w:rPr>
          <w:sz w:val="32"/>
          <w:szCs w:val="32"/>
        </w:rPr>
        <w:tab/>
      </w:r>
      <w:r>
        <w:rPr>
          <w:sz w:val="32"/>
          <w:szCs w:val="32"/>
        </w:rPr>
        <w:fldChar w:fldCharType="begin"/>
      </w:r>
      <w:r>
        <w:rPr>
          <w:sz w:val="32"/>
          <w:szCs w:val="32"/>
        </w:rPr>
        <w:instrText xml:space="preserve"> PAGEREF _Toc291754369 \h </w:instrText>
      </w:r>
      <w:r>
        <w:rPr>
          <w:sz w:val="32"/>
          <w:szCs w:val="32"/>
        </w:rPr>
        <w:fldChar w:fldCharType="separate"/>
      </w:r>
      <w:r>
        <w:rPr>
          <w:sz w:val="32"/>
          <w:szCs w:val="32"/>
        </w:rPr>
        <w:t>- 10 -</w:t>
      </w:r>
      <w:r>
        <w:rPr>
          <w:sz w:val="32"/>
          <w:szCs w:val="32"/>
        </w:rPr>
        <w:fldChar w:fldCharType="end"/>
      </w:r>
      <w:r>
        <w:rPr>
          <w:sz w:val="32"/>
          <w:szCs w:val="32"/>
        </w:rPr>
        <w:fldChar w:fldCharType="end"/>
      </w:r>
    </w:p>
    <w:p w14:paraId="2E4ACA63">
      <w:pPr>
        <w:pStyle w:val="30"/>
        <w:spacing w:line="960" w:lineRule="auto"/>
        <w:rPr>
          <w:rFonts w:ascii="Times New Roman"/>
          <w:bCs w:val="0"/>
          <w:color w:val="auto"/>
          <w:kern w:val="2"/>
          <w:szCs w:val="24"/>
        </w:rPr>
      </w:pPr>
      <w:r>
        <w:rPr>
          <w:rFonts w:hint="eastAsia"/>
          <w:b/>
          <w:sz w:val="32"/>
          <w:szCs w:val="32"/>
          <w:lang w:eastAsia="zh-CN"/>
        </w:rPr>
        <w:t>第六章</w:t>
      </w:r>
      <w:r>
        <w:rPr>
          <w:rFonts w:hint="eastAsia"/>
          <w:b/>
          <w:sz w:val="32"/>
          <w:szCs w:val="32"/>
          <w:lang w:val="en-US" w:eastAsia="zh-CN"/>
        </w:rPr>
        <w:t xml:space="preserve"> </w:t>
      </w:r>
      <w:r>
        <w:rPr>
          <w:rFonts w:hint="eastAsia"/>
          <w:b/>
          <w:sz w:val="32"/>
          <w:szCs w:val="32"/>
        </w:rPr>
        <w:fldChar w:fldCharType="begin"/>
      </w:r>
      <w:r>
        <w:rPr>
          <w:rFonts w:hint="eastAsia"/>
          <w:b/>
          <w:sz w:val="32"/>
          <w:szCs w:val="32"/>
        </w:rPr>
        <w:instrText xml:space="preserve"> HYPERLINK \l "_Toc291754376" </w:instrText>
      </w:r>
      <w:r>
        <w:rPr>
          <w:rFonts w:hint="eastAsia"/>
          <w:b/>
          <w:sz w:val="32"/>
          <w:szCs w:val="32"/>
        </w:rPr>
        <w:fldChar w:fldCharType="separate"/>
      </w:r>
      <w:r>
        <w:rPr>
          <w:rFonts w:hint="eastAsia"/>
          <w:b/>
          <w:sz w:val="32"/>
          <w:szCs w:val="32"/>
        </w:rPr>
        <w:t>评审细则评比方法和标准</w:t>
      </w:r>
      <w:r>
        <w:rPr>
          <w:rFonts w:hint="eastAsia"/>
          <w:b w:val="0"/>
          <w:bCs w:val="0"/>
          <w:sz w:val="32"/>
          <w:szCs w:val="32"/>
        </w:rPr>
        <w:tab/>
      </w:r>
      <w:r>
        <w:rPr>
          <w:rFonts w:hint="eastAsia"/>
          <w:b w:val="0"/>
          <w:bCs w:val="0"/>
          <w:sz w:val="32"/>
          <w:szCs w:val="32"/>
        </w:rPr>
        <w:fldChar w:fldCharType="begin"/>
      </w:r>
      <w:r>
        <w:rPr>
          <w:rFonts w:hint="eastAsia"/>
          <w:b w:val="0"/>
          <w:bCs w:val="0"/>
          <w:sz w:val="32"/>
          <w:szCs w:val="32"/>
        </w:rPr>
        <w:instrText xml:space="preserve"> PAGEREF _Toc291754376 \h </w:instrText>
      </w:r>
      <w:r>
        <w:rPr>
          <w:rFonts w:hint="eastAsia"/>
          <w:b w:val="0"/>
          <w:bCs w:val="0"/>
          <w:sz w:val="32"/>
          <w:szCs w:val="32"/>
        </w:rPr>
        <w:fldChar w:fldCharType="separate"/>
      </w:r>
      <w:r>
        <w:rPr>
          <w:rFonts w:hint="eastAsia"/>
          <w:b w:val="0"/>
          <w:bCs w:val="0"/>
          <w:sz w:val="32"/>
          <w:szCs w:val="32"/>
        </w:rPr>
        <w:t>- 17 -</w:t>
      </w:r>
      <w:r>
        <w:rPr>
          <w:rFonts w:hint="eastAsia"/>
          <w:b w:val="0"/>
          <w:bCs w:val="0"/>
          <w:sz w:val="32"/>
          <w:szCs w:val="32"/>
        </w:rPr>
        <w:fldChar w:fldCharType="end"/>
      </w:r>
      <w:r>
        <w:rPr>
          <w:rFonts w:hint="eastAsia"/>
          <w:b/>
          <w:sz w:val="32"/>
          <w:szCs w:val="32"/>
        </w:rPr>
        <w:fldChar w:fldCharType="end"/>
      </w:r>
    </w:p>
    <w:p w14:paraId="67146D9F">
      <w:pPr>
        <w:snapToGrid w:val="0"/>
        <w:spacing w:line="960" w:lineRule="auto"/>
        <w:ind w:left="420" w:leftChars="200"/>
        <w:jc w:val="center"/>
        <w:rPr>
          <w:rFonts w:ascii="宋体"/>
          <w:color w:val="000000"/>
          <w:sz w:val="24"/>
        </w:rPr>
        <w:sectPr>
          <w:headerReference r:id="rId5" w:type="first"/>
          <w:headerReference r:id="rId3" w:type="default"/>
          <w:footerReference r:id="rId6" w:type="default"/>
          <w:headerReference r:id="rId4" w:type="even"/>
          <w:footerReference r:id="rId7" w:type="even"/>
          <w:type w:val="nextColumn"/>
          <w:pgSz w:w="11907" w:h="16839" w:orient="landscape"/>
          <w:pgMar w:top="1134" w:right="1134" w:bottom="1134" w:left="1134" w:header="737" w:footer="964" w:gutter="0"/>
          <w:pgNumType w:fmt="numberInDash" w:start="0"/>
          <w:cols w:space="720" w:num="1"/>
          <w:titlePg/>
          <w:docGrid w:linePitch="312" w:charSpace="0"/>
        </w:sectPr>
      </w:pPr>
      <w:r>
        <w:rPr>
          <w:rFonts w:hint="eastAsia" w:ascii="宋体"/>
          <w:color w:val="000000"/>
          <w:szCs w:val="21"/>
        </w:rPr>
        <w:fldChar w:fldCharType="end"/>
      </w:r>
      <w:bookmarkStart w:id="0" w:name="_Toc83700573"/>
    </w:p>
    <w:p w14:paraId="259023FF">
      <w:pPr>
        <w:pStyle w:val="2"/>
        <w:keepLines/>
        <w:widowControl w:val="0"/>
        <w:spacing w:before="360" w:after="360" w:line="500" w:lineRule="exact"/>
        <w:rPr>
          <w:rFonts w:ascii="宋体" w:eastAsia="宋体"/>
          <w:b/>
          <w:bCs/>
          <w:color w:val="000000"/>
          <w:kern w:val="44"/>
          <w:sz w:val="44"/>
          <w:szCs w:val="44"/>
        </w:rPr>
      </w:pPr>
      <w:bookmarkStart w:id="1" w:name="_Toc291754344"/>
      <w:r>
        <w:rPr>
          <w:rFonts w:hint="eastAsia" w:ascii="宋体" w:eastAsia="宋体"/>
          <w:b/>
          <w:bCs/>
          <w:color w:val="000000"/>
          <w:kern w:val="44"/>
          <w:sz w:val="44"/>
          <w:szCs w:val="44"/>
        </w:rPr>
        <w:t>第一章  比选邀请书</w:t>
      </w:r>
      <w:bookmarkEnd w:id="1"/>
    </w:p>
    <w:p w14:paraId="5A2C29E5">
      <w:pPr>
        <w:spacing w:line="360" w:lineRule="auto"/>
        <w:rPr>
          <w:rFonts w:ascii="宋体"/>
          <w:color w:val="FF0000"/>
          <w:sz w:val="24"/>
        </w:rPr>
      </w:pPr>
      <w:r>
        <w:rPr>
          <w:rFonts w:hint="eastAsia" w:ascii="宋体"/>
          <w:color w:val="000000"/>
          <w:sz w:val="24"/>
        </w:rPr>
        <w:t xml:space="preserve">致：  </w:t>
      </w:r>
    </w:p>
    <w:p w14:paraId="0657BEC1">
      <w:pPr>
        <w:spacing w:line="360" w:lineRule="auto"/>
        <w:ind w:firstLine="480" w:firstLineChars="200"/>
        <w:jc w:val="left"/>
        <w:rPr>
          <w:rFonts w:ascii="宋体"/>
          <w:sz w:val="24"/>
        </w:rPr>
      </w:pPr>
      <w:r>
        <w:rPr>
          <w:rFonts w:hint="eastAsia" w:ascii="宋体"/>
          <w:sz w:val="24"/>
        </w:rPr>
        <w:t>大兴区</w:t>
      </w:r>
      <w:r>
        <w:rPr>
          <w:rFonts w:hint="eastAsia" w:ascii="宋体"/>
          <w:sz w:val="24"/>
          <w:lang w:val="en-US" w:eastAsia="zh-CN"/>
        </w:rPr>
        <w:t>梨园土壤盐渍化防治技术研究与应用项目</w:t>
      </w:r>
      <w:r>
        <w:rPr>
          <w:rFonts w:hint="eastAsia" w:ascii="宋体"/>
          <w:sz w:val="24"/>
        </w:rPr>
        <w:t>技术服务采购，采用比选方式选择合格的中选单位。根据前期报名情况，现邀请你单位参加比选，并将有关事宜告知如下：</w:t>
      </w:r>
    </w:p>
    <w:p w14:paraId="2309C593">
      <w:pPr>
        <w:spacing w:line="360" w:lineRule="auto"/>
        <w:ind w:firstLine="480" w:firstLineChars="200"/>
        <w:rPr>
          <w:rFonts w:ascii="宋体"/>
          <w:sz w:val="24"/>
        </w:rPr>
      </w:pPr>
      <w:r>
        <w:rPr>
          <w:rFonts w:hint="eastAsia" w:ascii="宋体"/>
          <w:sz w:val="24"/>
        </w:rPr>
        <w:t>一、项目概况：</w:t>
      </w:r>
    </w:p>
    <w:p w14:paraId="1AF48B79">
      <w:pPr>
        <w:spacing w:line="360" w:lineRule="auto"/>
        <w:ind w:firstLine="480" w:firstLineChars="200"/>
        <w:rPr>
          <w:rFonts w:ascii="宋体"/>
          <w:sz w:val="24"/>
        </w:rPr>
      </w:pPr>
      <w:r>
        <w:rPr>
          <w:rFonts w:hint="eastAsia" w:ascii="宋体"/>
          <w:sz w:val="24"/>
        </w:rPr>
        <w:t>1、项目名称：</w:t>
      </w:r>
      <w:r>
        <w:rPr>
          <w:rFonts w:hint="eastAsia" w:ascii="宋体"/>
          <w:sz w:val="24"/>
          <w:lang w:val="en-US" w:eastAsia="zh-CN"/>
        </w:rPr>
        <w:t>大兴区梨园土壤盐渍化防治技术研究与应用</w:t>
      </w:r>
      <w:r>
        <w:rPr>
          <w:rFonts w:hint="eastAsia" w:ascii="宋体"/>
          <w:sz w:val="24"/>
        </w:rPr>
        <w:t>项目技术服务</w:t>
      </w:r>
    </w:p>
    <w:p w14:paraId="1B696699">
      <w:pPr>
        <w:spacing w:line="360" w:lineRule="auto"/>
        <w:ind w:firstLine="480" w:firstLineChars="200"/>
        <w:rPr>
          <w:rFonts w:ascii="宋体"/>
          <w:sz w:val="24"/>
        </w:rPr>
      </w:pPr>
      <w:r>
        <w:rPr>
          <w:rFonts w:hint="eastAsia" w:ascii="宋体"/>
          <w:sz w:val="24"/>
        </w:rPr>
        <w:t>2、服务地点：北京市大兴区</w:t>
      </w:r>
    </w:p>
    <w:p w14:paraId="6DF1B0C7">
      <w:pPr>
        <w:spacing w:line="360" w:lineRule="auto"/>
        <w:ind w:firstLine="480" w:firstLineChars="200"/>
        <w:rPr>
          <w:rFonts w:ascii="宋体"/>
          <w:color w:val="auto"/>
          <w:sz w:val="24"/>
          <w:highlight w:val="none"/>
        </w:rPr>
      </w:pPr>
      <w:r>
        <w:rPr>
          <w:rFonts w:hint="eastAsia" w:ascii="宋体"/>
          <w:sz w:val="24"/>
        </w:rPr>
        <w:t>3、服务时限：自合同签订之日起至202</w:t>
      </w:r>
      <w:r>
        <w:rPr>
          <w:rFonts w:hint="eastAsia" w:ascii="宋体"/>
          <w:sz w:val="24"/>
          <w:lang w:val="en-US" w:eastAsia="zh-CN"/>
        </w:rPr>
        <w:t>6</w:t>
      </w:r>
      <w:r>
        <w:rPr>
          <w:rFonts w:hint="eastAsia" w:ascii="宋体"/>
          <w:sz w:val="24"/>
        </w:rPr>
        <w:t>年</w:t>
      </w:r>
      <w:r>
        <w:rPr>
          <w:rFonts w:hint="eastAsia" w:ascii="宋体"/>
          <w:color w:val="auto"/>
          <w:sz w:val="24"/>
          <w:highlight w:val="none"/>
          <w:lang w:val="en-US" w:eastAsia="zh-CN"/>
        </w:rPr>
        <w:t>11</w:t>
      </w:r>
      <w:r>
        <w:rPr>
          <w:rFonts w:hint="eastAsia" w:ascii="宋体"/>
          <w:color w:val="auto"/>
          <w:sz w:val="24"/>
          <w:highlight w:val="none"/>
        </w:rPr>
        <w:t>月</w:t>
      </w:r>
      <w:r>
        <w:rPr>
          <w:rFonts w:hint="eastAsia" w:ascii="宋体"/>
          <w:color w:val="auto"/>
          <w:sz w:val="24"/>
          <w:highlight w:val="none"/>
          <w:lang w:val="en-US" w:eastAsia="zh-CN"/>
        </w:rPr>
        <w:t>30</w:t>
      </w:r>
      <w:r>
        <w:rPr>
          <w:rFonts w:hint="eastAsia" w:ascii="宋体"/>
          <w:color w:val="auto"/>
          <w:sz w:val="24"/>
          <w:highlight w:val="none"/>
        </w:rPr>
        <w:t>日</w:t>
      </w:r>
    </w:p>
    <w:p w14:paraId="639EE2FD">
      <w:pPr>
        <w:pStyle w:val="42"/>
        <w:numPr>
          <w:ilvl w:val="0"/>
          <w:numId w:val="0"/>
        </w:numPr>
        <w:tabs>
          <w:tab w:val="left" w:pos="0"/>
        </w:tabs>
        <w:snapToGrid/>
        <w:ind w:firstLine="528" w:firstLineChars="200"/>
        <w:rPr>
          <w:rFonts w:hint="default" w:ascii="宋体" w:eastAsia="宋体"/>
          <w:sz w:val="24"/>
          <w:lang w:val="en-US" w:eastAsia="zh-CN"/>
        </w:rPr>
      </w:pPr>
      <w:r>
        <w:rPr>
          <w:rFonts w:hint="eastAsia" w:ascii="宋体"/>
          <w:sz w:val="24"/>
        </w:rPr>
        <w:t>4、工作内容：</w:t>
      </w:r>
      <w:r>
        <w:rPr>
          <w:rFonts w:hint="eastAsia"/>
          <w:sz w:val="24"/>
          <w:lang w:val="en-US" w:eastAsia="zh-CN"/>
        </w:rPr>
        <w:t>1.完成草种筛选：对不同施肥模式下盐渍化风险果园进行土壤检测、草种生物量及碳氮含量监测检测，综合分析，筛选出不同施肥模式下不同土壤盐渍化风险园区适宜草种和种植密度；2.</w:t>
      </w:r>
      <w:r>
        <w:rPr>
          <w:rFonts w:hint="eastAsia" w:ascii="宋体" w:hAnsi="Times New Roman" w:cs="Times New Roman"/>
          <w:color w:val="000000"/>
          <w:sz w:val="24"/>
          <w:lang w:val="en-US" w:eastAsia="zh-CN"/>
        </w:rPr>
        <w:t>对果园修剪废弃物堆肥化处理后的指标进行检测，满足畜禽粪便堆肥技术规范（NY/T3442-2019）限量指标要求，同时测定堆肥氯离子质量分数、全盐含量，用于评价堆肥产物盐分情况</w:t>
      </w:r>
      <w:r>
        <w:rPr>
          <w:rFonts w:hint="eastAsia"/>
          <w:sz w:val="24"/>
          <w:lang w:val="en-US" w:eastAsia="zh-CN"/>
        </w:rPr>
        <w:t>；3.对筛选确定的处理进行土壤、果品测试，植物多样性、草种生物量监测结果综合分析，得出适宜不同施肥模式和不同盐渍化风险等级梨园适宜草种及匹配的优化施肥方案，并撰写大兴区梨园生草技术研究与应用评价报告和指导技术手册。</w:t>
      </w:r>
    </w:p>
    <w:p w14:paraId="4B722C15">
      <w:pPr>
        <w:spacing w:line="360" w:lineRule="auto"/>
        <w:ind w:firstLine="480" w:firstLineChars="200"/>
        <w:rPr>
          <w:rFonts w:ascii="宋体"/>
          <w:color w:val="auto"/>
          <w:sz w:val="24"/>
          <w:highlight w:val="none"/>
        </w:rPr>
      </w:pPr>
      <w:r>
        <w:rPr>
          <w:rFonts w:hint="eastAsia" w:ascii="宋体"/>
          <w:sz w:val="24"/>
        </w:rPr>
        <w:t>二、比选文件发放时间</w:t>
      </w:r>
      <w:r>
        <w:rPr>
          <w:rFonts w:hint="eastAsia" w:ascii="宋体"/>
          <w:sz w:val="24"/>
          <w:highlight w:val="none"/>
        </w:rPr>
        <w:t>：</w:t>
      </w:r>
      <w:r>
        <w:rPr>
          <w:rStyle w:val="58"/>
          <w:color w:val="auto"/>
          <w:sz w:val="24"/>
          <w:highlight w:val="none"/>
          <w:u w:val="single"/>
        </w:rPr>
        <w:t>20</w:t>
      </w:r>
      <w:r>
        <w:rPr>
          <w:rStyle w:val="58"/>
          <w:rFonts w:hint="eastAsia"/>
          <w:color w:val="auto"/>
          <w:sz w:val="24"/>
          <w:highlight w:val="none"/>
          <w:u w:val="single"/>
        </w:rPr>
        <w:t>2</w:t>
      </w:r>
      <w:r>
        <w:rPr>
          <w:rStyle w:val="58"/>
          <w:rFonts w:hint="default"/>
          <w:color w:val="auto"/>
          <w:sz w:val="24"/>
          <w:highlight w:val="none"/>
          <w:u w:val="single"/>
          <w:lang w:val="en"/>
        </w:rPr>
        <w:t>5</w:t>
      </w:r>
      <w:r>
        <w:rPr>
          <w:rStyle w:val="58"/>
          <w:color w:val="auto"/>
          <w:sz w:val="24"/>
          <w:highlight w:val="none"/>
        </w:rPr>
        <w:t>年</w:t>
      </w:r>
      <w:r>
        <w:rPr>
          <w:rStyle w:val="58"/>
          <w:rFonts w:hint="eastAsia"/>
          <w:color w:val="auto"/>
          <w:sz w:val="24"/>
          <w:highlight w:val="none"/>
          <w:u w:val="single"/>
          <w:lang w:val="en-US" w:eastAsia="zh-CN"/>
        </w:rPr>
        <w:t>9</w:t>
      </w:r>
      <w:r>
        <w:rPr>
          <w:rStyle w:val="58"/>
          <w:color w:val="auto"/>
          <w:sz w:val="24"/>
          <w:highlight w:val="none"/>
        </w:rPr>
        <w:t>月</w:t>
      </w:r>
      <w:r>
        <w:rPr>
          <w:rStyle w:val="58"/>
          <w:rFonts w:hint="eastAsia"/>
          <w:color w:val="auto"/>
          <w:sz w:val="24"/>
          <w:highlight w:val="none"/>
          <w:u w:val="single"/>
          <w:lang w:val="en-US" w:eastAsia="zh-CN"/>
        </w:rPr>
        <w:t>15</w:t>
      </w:r>
      <w:r>
        <w:rPr>
          <w:rStyle w:val="58"/>
          <w:color w:val="auto"/>
          <w:sz w:val="24"/>
          <w:highlight w:val="none"/>
        </w:rPr>
        <w:t>日至</w:t>
      </w:r>
      <w:r>
        <w:rPr>
          <w:rStyle w:val="58"/>
          <w:color w:val="auto"/>
          <w:sz w:val="24"/>
          <w:highlight w:val="none"/>
          <w:u w:val="single"/>
        </w:rPr>
        <w:t xml:space="preserve">  20</w:t>
      </w:r>
      <w:r>
        <w:rPr>
          <w:rStyle w:val="58"/>
          <w:rFonts w:hint="eastAsia"/>
          <w:color w:val="auto"/>
          <w:sz w:val="24"/>
          <w:highlight w:val="none"/>
          <w:u w:val="single"/>
        </w:rPr>
        <w:t>2</w:t>
      </w:r>
      <w:r>
        <w:rPr>
          <w:rStyle w:val="58"/>
          <w:rFonts w:hint="default"/>
          <w:color w:val="auto"/>
          <w:sz w:val="24"/>
          <w:highlight w:val="none"/>
          <w:u w:val="single"/>
          <w:lang w:val="en"/>
        </w:rPr>
        <w:t>5</w:t>
      </w:r>
      <w:r>
        <w:rPr>
          <w:rStyle w:val="58"/>
          <w:color w:val="auto"/>
          <w:sz w:val="24"/>
          <w:highlight w:val="none"/>
          <w:u w:val="single"/>
        </w:rPr>
        <w:t> </w:t>
      </w:r>
      <w:r>
        <w:rPr>
          <w:rStyle w:val="58"/>
          <w:color w:val="auto"/>
          <w:sz w:val="24"/>
          <w:highlight w:val="none"/>
        </w:rPr>
        <w:t>年</w:t>
      </w:r>
      <w:r>
        <w:rPr>
          <w:rStyle w:val="58"/>
          <w:rFonts w:hint="eastAsia"/>
          <w:color w:val="auto"/>
          <w:sz w:val="24"/>
          <w:highlight w:val="none"/>
          <w:u w:val="single"/>
          <w:lang w:val="en-US" w:eastAsia="zh-CN"/>
        </w:rPr>
        <w:t>9</w:t>
      </w:r>
      <w:r>
        <w:rPr>
          <w:rStyle w:val="58"/>
          <w:color w:val="auto"/>
          <w:sz w:val="24"/>
          <w:highlight w:val="none"/>
        </w:rPr>
        <w:t>月</w:t>
      </w:r>
      <w:bookmarkStart w:id="101" w:name="_GoBack"/>
      <w:r>
        <w:rPr>
          <w:rStyle w:val="58"/>
          <w:rFonts w:hint="eastAsia"/>
          <w:color w:val="auto"/>
          <w:sz w:val="24"/>
          <w:highlight w:val="none"/>
          <w:u w:val="single"/>
          <w:lang w:val="en-US" w:eastAsia="zh-CN"/>
        </w:rPr>
        <w:t>19</w:t>
      </w:r>
      <w:bookmarkEnd w:id="101"/>
      <w:r>
        <w:rPr>
          <w:rStyle w:val="58"/>
          <w:color w:val="auto"/>
          <w:sz w:val="24"/>
          <w:highlight w:val="none"/>
        </w:rPr>
        <w:t>日</w:t>
      </w:r>
      <w:r>
        <w:rPr>
          <w:rStyle w:val="58"/>
          <w:rFonts w:hint="eastAsia"/>
          <w:color w:val="auto"/>
          <w:sz w:val="24"/>
          <w:highlight w:val="none"/>
        </w:rPr>
        <w:t>。</w:t>
      </w:r>
    </w:p>
    <w:p w14:paraId="7F8EED99">
      <w:pPr>
        <w:spacing w:line="360" w:lineRule="auto"/>
        <w:ind w:firstLine="480" w:firstLineChars="200"/>
        <w:rPr>
          <w:rFonts w:ascii="宋体"/>
          <w:color w:val="auto"/>
          <w:sz w:val="24"/>
        </w:rPr>
      </w:pPr>
    </w:p>
    <w:p w14:paraId="3FC50175">
      <w:pPr>
        <w:spacing w:line="360" w:lineRule="auto"/>
        <w:ind w:firstLine="480" w:firstLineChars="200"/>
        <w:rPr>
          <w:rFonts w:ascii="宋体"/>
          <w:sz w:val="24"/>
        </w:rPr>
      </w:pPr>
    </w:p>
    <w:p w14:paraId="514C56A2">
      <w:pPr>
        <w:spacing w:line="360" w:lineRule="auto"/>
        <w:ind w:firstLine="480" w:firstLineChars="200"/>
        <w:rPr>
          <w:rFonts w:ascii="宋体"/>
          <w:sz w:val="24"/>
        </w:rPr>
      </w:pPr>
    </w:p>
    <w:p w14:paraId="268CF507">
      <w:pPr>
        <w:spacing w:line="360" w:lineRule="auto"/>
        <w:ind w:firstLine="480" w:firstLineChars="200"/>
        <w:rPr>
          <w:rFonts w:ascii="宋体"/>
          <w:color w:val="000000"/>
          <w:sz w:val="24"/>
        </w:rPr>
      </w:pPr>
    </w:p>
    <w:p w14:paraId="2B42CFBD">
      <w:pPr>
        <w:spacing w:line="360" w:lineRule="auto"/>
        <w:ind w:firstLine="0" w:firstLineChars="0"/>
        <w:rPr>
          <w:rFonts w:ascii="宋体"/>
          <w:color w:val="000000"/>
          <w:sz w:val="24"/>
        </w:rPr>
      </w:pPr>
    </w:p>
    <w:p w14:paraId="5F9D5878">
      <w:pPr>
        <w:spacing w:line="360" w:lineRule="auto"/>
        <w:ind w:firstLine="0" w:firstLineChars="0"/>
        <w:rPr>
          <w:rFonts w:ascii="宋体"/>
          <w:color w:val="000000"/>
          <w:sz w:val="24"/>
        </w:rPr>
      </w:pPr>
    </w:p>
    <w:p w14:paraId="5EE09007">
      <w:pPr>
        <w:spacing w:line="360" w:lineRule="auto"/>
        <w:ind w:firstLine="480" w:firstLineChars="200"/>
        <w:rPr>
          <w:rFonts w:ascii="宋体"/>
          <w:color w:val="000000"/>
          <w:sz w:val="24"/>
        </w:rPr>
      </w:pPr>
      <w:r>
        <w:rPr>
          <w:rFonts w:hint="eastAsia" w:ascii="宋体"/>
          <w:color w:val="000000"/>
          <w:sz w:val="24"/>
        </w:rPr>
        <w:t xml:space="preserve">比选人（全称）：北京市大兴区园林绿化局    </w:t>
      </w:r>
    </w:p>
    <w:p w14:paraId="69149682">
      <w:pPr>
        <w:spacing w:line="360" w:lineRule="auto"/>
        <w:ind w:firstLine="480" w:firstLineChars="200"/>
        <w:rPr>
          <w:rFonts w:ascii="宋体"/>
          <w:color w:val="000000"/>
          <w:sz w:val="24"/>
        </w:rPr>
      </w:pPr>
      <w:r>
        <w:rPr>
          <w:rFonts w:hint="eastAsia" w:ascii="宋体"/>
          <w:color w:val="000000"/>
          <w:sz w:val="24"/>
        </w:rPr>
        <w:t>地  址： 北京市大兴区林校路街道桐城行政办公楼14号楼四层40</w:t>
      </w:r>
      <w:r>
        <w:rPr>
          <w:rFonts w:hint="eastAsia" w:ascii="宋体"/>
          <w:color w:val="000000"/>
          <w:sz w:val="24"/>
          <w:lang w:val="en-US" w:eastAsia="zh-CN"/>
        </w:rPr>
        <w:t>3</w:t>
      </w:r>
      <w:r>
        <w:rPr>
          <w:rFonts w:hint="eastAsia" w:ascii="宋体"/>
          <w:color w:val="000000"/>
          <w:sz w:val="24"/>
        </w:rPr>
        <w:t>室</w:t>
      </w:r>
    </w:p>
    <w:p w14:paraId="5ED9DCFF">
      <w:pPr>
        <w:spacing w:line="360" w:lineRule="auto"/>
        <w:ind w:firstLine="480" w:firstLineChars="200"/>
        <w:rPr>
          <w:rFonts w:ascii="宋体"/>
          <w:color w:val="000000"/>
          <w:sz w:val="24"/>
        </w:rPr>
      </w:pPr>
      <w:r>
        <w:rPr>
          <w:rFonts w:hint="eastAsia" w:ascii="宋体"/>
          <w:color w:val="000000"/>
          <w:sz w:val="24"/>
        </w:rPr>
        <w:t>邮  编： 102600</w:t>
      </w:r>
    </w:p>
    <w:p w14:paraId="64B0D3DB">
      <w:pPr>
        <w:spacing w:line="360" w:lineRule="auto"/>
        <w:ind w:firstLine="480" w:firstLineChars="200"/>
        <w:rPr>
          <w:rFonts w:ascii="宋体"/>
          <w:color w:val="000000"/>
          <w:sz w:val="24"/>
        </w:rPr>
      </w:pPr>
      <w:r>
        <w:rPr>
          <w:rFonts w:hint="eastAsia" w:ascii="宋体"/>
          <w:color w:val="000000"/>
          <w:sz w:val="24"/>
        </w:rPr>
        <w:t xml:space="preserve">联系人： </w:t>
      </w:r>
      <w:r>
        <w:rPr>
          <w:rFonts w:hint="eastAsia" w:ascii="宋体"/>
          <w:color w:val="000000"/>
          <w:sz w:val="24"/>
          <w:lang w:val="en-US" w:eastAsia="zh-CN"/>
        </w:rPr>
        <w:t>李玲玉</w:t>
      </w:r>
    </w:p>
    <w:p w14:paraId="6497CB1C">
      <w:pPr>
        <w:spacing w:line="360" w:lineRule="auto"/>
        <w:ind w:firstLine="480" w:firstLineChars="200"/>
        <w:rPr>
          <w:rFonts w:ascii="宋体"/>
          <w:color w:val="000000"/>
          <w:sz w:val="24"/>
        </w:rPr>
      </w:pPr>
      <w:r>
        <w:rPr>
          <w:rFonts w:hint="eastAsia" w:ascii="宋体"/>
          <w:color w:val="000000"/>
          <w:sz w:val="24"/>
        </w:rPr>
        <w:t>联系电话：010-812983</w:t>
      </w:r>
      <w:r>
        <w:rPr>
          <w:rFonts w:hint="eastAsia" w:ascii="宋体"/>
          <w:color w:val="000000"/>
          <w:sz w:val="24"/>
          <w:lang w:val="en-US" w:eastAsia="zh-CN"/>
        </w:rPr>
        <w:t>13</w:t>
      </w:r>
    </w:p>
    <w:p w14:paraId="07BB664B">
      <w:pPr>
        <w:pStyle w:val="2"/>
        <w:keepLines/>
        <w:widowControl w:val="0"/>
        <w:spacing w:before="360" w:after="360" w:line="500" w:lineRule="exact"/>
        <w:rPr>
          <w:rFonts w:hint="eastAsia" w:ascii="宋体" w:eastAsia="宋体"/>
          <w:b/>
          <w:bCs/>
          <w:color w:val="000000"/>
          <w:kern w:val="44"/>
          <w:sz w:val="44"/>
          <w:szCs w:val="44"/>
        </w:rPr>
      </w:pPr>
      <w:bookmarkStart w:id="2" w:name="_Toc291754345"/>
      <w:r>
        <w:rPr>
          <w:rFonts w:hint="eastAsia" w:ascii="宋体" w:eastAsia="宋体"/>
          <w:b/>
          <w:bCs/>
          <w:color w:val="000000"/>
          <w:kern w:val="44"/>
          <w:sz w:val="44"/>
          <w:szCs w:val="44"/>
        </w:rPr>
        <w:t>第二章  比选须知前附表</w:t>
      </w:r>
      <w:bookmarkEnd w:id="0"/>
      <w:bookmarkEnd w:id="2"/>
    </w:p>
    <w:tbl>
      <w:tblPr>
        <w:tblStyle w:val="43"/>
        <w:tblW w:w="0" w:type="auto"/>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2078"/>
        <w:gridCol w:w="6966"/>
      </w:tblGrid>
      <w:tr w14:paraId="1B95C0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33" w:hRule="atLeast"/>
        </w:trPr>
        <w:tc>
          <w:tcPr>
            <w:tcW w:w="804" w:type="dxa"/>
            <w:vAlign w:val="center"/>
          </w:tcPr>
          <w:p w14:paraId="58765FD5">
            <w:pPr>
              <w:spacing w:line="360" w:lineRule="auto"/>
              <w:ind w:right="-357"/>
              <w:rPr>
                <w:rFonts w:ascii="宋体"/>
                <w:color w:val="000000"/>
                <w:sz w:val="24"/>
              </w:rPr>
            </w:pPr>
            <w:r>
              <w:rPr>
                <w:rFonts w:hint="eastAsia" w:ascii="宋体"/>
                <w:color w:val="000000"/>
                <w:sz w:val="24"/>
              </w:rPr>
              <w:t>项号</w:t>
            </w:r>
          </w:p>
        </w:tc>
        <w:tc>
          <w:tcPr>
            <w:tcW w:w="2078" w:type="dxa"/>
            <w:vAlign w:val="center"/>
          </w:tcPr>
          <w:p w14:paraId="089071F4">
            <w:pPr>
              <w:spacing w:line="360" w:lineRule="auto"/>
              <w:jc w:val="center"/>
              <w:rPr>
                <w:rFonts w:ascii="宋体"/>
                <w:sz w:val="24"/>
              </w:rPr>
            </w:pPr>
            <w:r>
              <w:rPr>
                <w:rFonts w:hint="eastAsia" w:ascii="宋体"/>
                <w:sz w:val="24"/>
              </w:rPr>
              <w:t>内    容</w:t>
            </w:r>
          </w:p>
        </w:tc>
        <w:tc>
          <w:tcPr>
            <w:tcW w:w="6966" w:type="dxa"/>
            <w:vAlign w:val="center"/>
          </w:tcPr>
          <w:p w14:paraId="21424C79">
            <w:pPr>
              <w:tabs>
                <w:tab w:val="left" w:pos="1180"/>
              </w:tabs>
              <w:spacing w:line="360" w:lineRule="auto"/>
              <w:jc w:val="center"/>
              <w:rPr>
                <w:rFonts w:ascii="宋体"/>
                <w:sz w:val="24"/>
              </w:rPr>
            </w:pPr>
            <w:r>
              <w:rPr>
                <w:rFonts w:hint="eastAsia" w:ascii="宋体"/>
                <w:sz w:val="24"/>
              </w:rPr>
              <w:t>说明与要求</w:t>
            </w:r>
          </w:p>
        </w:tc>
      </w:tr>
      <w:tr w14:paraId="0CB2D9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187" w:hRule="atLeast"/>
        </w:trPr>
        <w:tc>
          <w:tcPr>
            <w:tcW w:w="804" w:type="dxa"/>
            <w:vAlign w:val="center"/>
          </w:tcPr>
          <w:p w14:paraId="7C4A9BF3">
            <w:pPr>
              <w:spacing w:line="360" w:lineRule="auto"/>
              <w:jc w:val="center"/>
              <w:rPr>
                <w:rFonts w:ascii="宋体"/>
                <w:color w:val="000000"/>
                <w:sz w:val="24"/>
              </w:rPr>
            </w:pPr>
            <w:r>
              <w:rPr>
                <w:rFonts w:hint="eastAsia" w:ascii="宋体"/>
                <w:color w:val="000000"/>
                <w:sz w:val="24"/>
              </w:rPr>
              <w:t>1</w:t>
            </w:r>
          </w:p>
        </w:tc>
        <w:tc>
          <w:tcPr>
            <w:tcW w:w="2078" w:type="dxa"/>
            <w:vAlign w:val="center"/>
          </w:tcPr>
          <w:p w14:paraId="0925436B">
            <w:pPr>
              <w:pStyle w:val="30"/>
              <w:spacing w:line="360" w:lineRule="auto"/>
              <w:rPr>
                <w:color w:val="auto"/>
                <w:sz w:val="24"/>
                <w:szCs w:val="24"/>
              </w:rPr>
            </w:pPr>
            <w:r>
              <w:rPr>
                <w:rFonts w:hint="eastAsia"/>
                <w:color w:val="auto"/>
                <w:sz w:val="24"/>
                <w:szCs w:val="24"/>
              </w:rPr>
              <w:t>项目名称</w:t>
            </w:r>
          </w:p>
        </w:tc>
        <w:tc>
          <w:tcPr>
            <w:tcW w:w="6966" w:type="dxa"/>
            <w:vAlign w:val="center"/>
          </w:tcPr>
          <w:p w14:paraId="670117C0">
            <w:pPr>
              <w:spacing w:line="360" w:lineRule="auto"/>
              <w:rPr>
                <w:rFonts w:ascii="宋体"/>
                <w:sz w:val="24"/>
              </w:rPr>
            </w:pPr>
            <w:r>
              <w:rPr>
                <w:rFonts w:hint="eastAsia" w:ascii="宋体"/>
                <w:sz w:val="24"/>
                <w:lang w:val="en-US" w:eastAsia="zh-CN"/>
              </w:rPr>
              <w:t>大兴区梨园土壤盐渍化防治技术研究与应用</w:t>
            </w:r>
            <w:r>
              <w:rPr>
                <w:rFonts w:hint="eastAsia" w:ascii="宋体"/>
                <w:sz w:val="24"/>
              </w:rPr>
              <w:t>项目技术服务</w:t>
            </w:r>
          </w:p>
        </w:tc>
      </w:tr>
      <w:tr w14:paraId="25157A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04" w:type="dxa"/>
            <w:vAlign w:val="center"/>
          </w:tcPr>
          <w:p w14:paraId="78F2CD53">
            <w:pPr>
              <w:spacing w:line="360" w:lineRule="auto"/>
              <w:jc w:val="center"/>
              <w:rPr>
                <w:rFonts w:ascii="宋体"/>
                <w:color w:val="000000"/>
                <w:sz w:val="24"/>
              </w:rPr>
            </w:pPr>
            <w:r>
              <w:rPr>
                <w:rFonts w:hint="eastAsia" w:ascii="宋体"/>
                <w:color w:val="000000"/>
                <w:sz w:val="24"/>
              </w:rPr>
              <w:t>2</w:t>
            </w:r>
          </w:p>
        </w:tc>
        <w:tc>
          <w:tcPr>
            <w:tcW w:w="2078" w:type="dxa"/>
            <w:vAlign w:val="center"/>
          </w:tcPr>
          <w:p w14:paraId="5AF45CA5">
            <w:pPr>
              <w:spacing w:line="360" w:lineRule="auto"/>
              <w:jc w:val="center"/>
              <w:rPr>
                <w:rFonts w:ascii="宋体"/>
                <w:sz w:val="24"/>
              </w:rPr>
            </w:pPr>
            <w:r>
              <w:rPr>
                <w:rFonts w:hint="eastAsia" w:ascii="宋体"/>
                <w:sz w:val="24"/>
              </w:rPr>
              <w:t>服务地点</w:t>
            </w:r>
          </w:p>
        </w:tc>
        <w:tc>
          <w:tcPr>
            <w:tcW w:w="6966" w:type="dxa"/>
            <w:vAlign w:val="center"/>
          </w:tcPr>
          <w:p w14:paraId="7EEC5BE7">
            <w:pPr>
              <w:spacing w:line="360" w:lineRule="auto"/>
              <w:rPr>
                <w:rFonts w:ascii="宋体"/>
                <w:sz w:val="24"/>
              </w:rPr>
            </w:pPr>
            <w:r>
              <w:rPr>
                <w:rFonts w:hint="eastAsia" w:ascii="宋体"/>
                <w:sz w:val="24"/>
              </w:rPr>
              <w:t>北京市大兴区</w:t>
            </w:r>
          </w:p>
        </w:tc>
      </w:tr>
      <w:tr w14:paraId="2D8565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1176" w:hRule="atLeast"/>
        </w:trPr>
        <w:tc>
          <w:tcPr>
            <w:tcW w:w="804" w:type="dxa"/>
            <w:vAlign w:val="center"/>
          </w:tcPr>
          <w:p w14:paraId="3B61A720">
            <w:pPr>
              <w:spacing w:line="360" w:lineRule="auto"/>
              <w:jc w:val="center"/>
              <w:rPr>
                <w:rFonts w:ascii="宋体"/>
                <w:color w:val="000000"/>
                <w:sz w:val="24"/>
              </w:rPr>
            </w:pPr>
            <w:r>
              <w:rPr>
                <w:rFonts w:hint="eastAsia" w:ascii="宋体"/>
                <w:color w:val="000000"/>
                <w:sz w:val="24"/>
              </w:rPr>
              <w:t>3</w:t>
            </w:r>
          </w:p>
        </w:tc>
        <w:tc>
          <w:tcPr>
            <w:tcW w:w="2078" w:type="dxa"/>
            <w:vAlign w:val="center"/>
          </w:tcPr>
          <w:p w14:paraId="678D0054">
            <w:pPr>
              <w:spacing w:line="360" w:lineRule="auto"/>
              <w:jc w:val="center"/>
              <w:rPr>
                <w:rFonts w:ascii="宋体"/>
                <w:sz w:val="24"/>
              </w:rPr>
            </w:pPr>
            <w:r>
              <w:rPr>
                <w:rFonts w:hint="eastAsia" w:ascii="宋体"/>
                <w:sz w:val="24"/>
              </w:rPr>
              <w:t>项目内容</w:t>
            </w:r>
          </w:p>
          <w:p w14:paraId="1C0B3A4C">
            <w:pPr>
              <w:spacing w:line="360" w:lineRule="auto"/>
              <w:jc w:val="center"/>
              <w:rPr>
                <w:rFonts w:ascii="宋体"/>
                <w:sz w:val="24"/>
              </w:rPr>
            </w:pPr>
            <w:r>
              <w:rPr>
                <w:rFonts w:hint="eastAsia" w:ascii="宋体"/>
                <w:sz w:val="24"/>
              </w:rPr>
              <w:t>及规模</w:t>
            </w:r>
          </w:p>
        </w:tc>
        <w:tc>
          <w:tcPr>
            <w:tcW w:w="6966" w:type="dxa"/>
            <w:vAlign w:val="center"/>
          </w:tcPr>
          <w:p w14:paraId="2F60A8D6">
            <w:pPr>
              <w:pStyle w:val="42"/>
              <w:numPr>
                <w:ilvl w:val="0"/>
                <w:numId w:val="0"/>
              </w:numPr>
              <w:tabs>
                <w:tab w:val="left" w:pos="0"/>
              </w:tabs>
              <w:ind w:firstLine="528" w:firstLineChars="200"/>
              <w:rPr>
                <w:rFonts w:ascii="宋体"/>
                <w:sz w:val="24"/>
              </w:rPr>
            </w:pPr>
            <w:r>
              <w:rPr>
                <w:rFonts w:hint="eastAsia" w:ascii="宋体" w:hAnsi="Times New Roman" w:cs="Times New Roman"/>
                <w:color w:val="000000"/>
                <w:sz w:val="24"/>
                <w:lang w:val="en-US" w:eastAsia="zh-CN"/>
              </w:rPr>
              <w:t>1.完成草种筛选：对不同施肥模式下不同盐渍化风险果园进行土壤基础理化指标</w:t>
            </w:r>
            <w:r>
              <w:rPr>
                <w:rFonts w:hint="eastAsia" w:cs="Times New Roman"/>
                <w:color w:val="000000"/>
                <w:sz w:val="24"/>
                <w:lang w:val="en-US" w:eastAsia="zh-CN"/>
              </w:rPr>
              <w:t>检测</w:t>
            </w:r>
            <w:r>
              <w:rPr>
                <w:rFonts w:hint="eastAsia" w:ascii="宋体" w:hAnsi="Times New Roman" w:cs="Times New Roman"/>
                <w:color w:val="000000"/>
                <w:sz w:val="24"/>
                <w:lang w:val="en-US" w:eastAsia="zh-CN"/>
              </w:rPr>
              <w:t>、草种生物量及碳氮含量等指标监测</w:t>
            </w:r>
            <w:r>
              <w:rPr>
                <w:rFonts w:hint="eastAsia" w:cs="Times New Roman"/>
                <w:color w:val="000000"/>
                <w:sz w:val="24"/>
                <w:lang w:val="en-US" w:eastAsia="zh-CN"/>
              </w:rPr>
              <w:t>检测</w:t>
            </w:r>
            <w:r>
              <w:rPr>
                <w:rFonts w:hint="eastAsia" w:ascii="宋体" w:hAnsi="Times New Roman" w:cs="Times New Roman"/>
                <w:color w:val="000000"/>
                <w:sz w:val="24"/>
                <w:lang w:val="en-US" w:eastAsia="zh-CN"/>
              </w:rPr>
              <w:t>，综合分析，筛选出不同盐渍化风险土壤园区适宜草种和种植密度；2.对果园修剪废弃物堆肥化处理后的指标进行检测，满足畜禽粪便堆肥技术规范（NY/T3442-2019）限量指标要求，同时测定堆肥氯离子质量分数、全盐含量，用于评价堆肥产物盐分情况；3.对筛选确定的处理进行土壤、果品测试</w:t>
            </w:r>
            <w:r>
              <w:rPr>
                <w:rFonts w:hint="eastAsia" w:cs="Times New Roman"/>
                <w:color w:val="000000"/>
                <w:sz w:val="24"/>
                <w:lang w:val="en-US" w:eastAsia="zh-CN"/>
              </w:rPr>
              <w:t>，</w:t>
            </w:r>
            <w:r>
              <w:rPr>
                <w:rFonts w:hint="eastAsia" w:ascii="宋体" w:hAnsi="Times New Roman" w:cs="Times New Roman"/>
                <w:color w:val="000000"/>
                <w:sz w:val="24"/>
                <w:lang w:val="en-US" w:eastAsia="zh-CN"/>
              </w:rPr>
              <w:t>植物多样性、草种生物量</w:t>
            </w:r>
            <w:r>
              <w:rPr>
                <w:rFonts w:hint="eastAsia" w:cs="Times New Roman"/>
                <w:color w:val="000000"/>
                <w:sz w:val="24"/>
                <w:lang w:val="en-US" w:eastAsia="zh-CN"/>
              </w:rPr>
              <w:t>监测</w:t>
            </w:r>
            <w:r>
              <w:rPr>
                <w:rFonts w:hint="eastAsia" w:ascii="宋体" w:hAnsi="Times New Roman" w:cs="Times New Roman"/>
                <w:color w:val="000000"/>
                <w:sz w:val="24"/>
                <w:lang w:val="en-US" w:eastAsia="zh-CN"/>
              </w:rPr>
              <w:t>结果综合分析并得出</w:t>
            </w:r>
            <w:r>
              <w:rPr>
                <w:rFonts w:hint="eastAsia"/>
                <w:sz w:val="24"/>
                <w:lang w:val="en-US" w:eastAsia="zh-CN"/>
              </w:rPr>
              <w:t>适宜不同施肥模式和不同盐渍化风险等级梨园适宜草种及匹配的优化施肥方案，并撰写大兴区梨园生草技术研究与应用评价报告和指导技术手册。</w:t>
            </w:r>
          </w:p>
        </w:tc>
      </w:tr>
      <w:tr w14:paraId="53587D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804" w:type="dxa"/>
            <w:vAlign w:val="center"/>
          </w:tcPr>
          <w:p w14:paraId="04150A12">
            <w:pPr>
              <w:spacing w:line="360" w:lineRule="auto"/>
              <w:jc w:val="center"/>
              <w:rPr>
                <w:rFonts w:ascii="宋体"/>
                <w:color w:val="000000"/>
                <w:sz w:val="24"/>
              </w:rPr>
            </w:pPr>
            <w:r>
              <w:rPr>
                <w:rFonts w:hint="eastAsia" w:ascii="宋体"/>
                <w:color w:val="000000"/>
                <w:sz w:val="24"/>
              </w:rPr>
              <w:t>4</w:t>
            </w:r>
          </w:p>
        </w:tc>
        <w:tc>
          <w:tcPr>
            <w:tcW w:w="2078" w:type="dxa"/>
            <w:vAlign w:val="center"/>
          </w:tcPr>
          <w:p w14:paraId="5EAA72DF">
            <w:pPr>
              <w:pStyle w:val="25"/>
              <w:spacing w:line="360" w:lineRule="auto"/>
              <w:jc w:val="center"/>
              <w:rPr>
                <w:rFonts w:ascii="宋体" w:cs="Arial"/>
                <w:szCs w:val="24"/>
              </w:rPr>
            </w:pPr>
            <w:r>
              <w:rPr>
                <w:rFonts w:hint="eastAsia" w:ascii="宋体" w:cs="Arial"/>
                <w:szCs w:val="24"/>
              </w:rPr>
              <w:t>报价最高限价</w:t>
            </w:r>
          </w:p>
        </w:tc>
        <w:tc>
          <w:tcPr>
            <w:tcW w:w="6966" w:type="dxa"/>
            <w:vAlign w:val="center"/>
          </w:tcPr>
          <w:p w14:paraId="460215F5">
            <w:pPr>
              <w:spacing w:line="360" w:lineRule="auto"/>
              <w:jc w:val="left"/>
              <w:rPr>
                <w:rFonts w:ascii="宋体"/>
                <w:sz w:val="24"/>
                <w:highlight w:val="none"/>
              </w:rPr>
            </w:pPr>
            <w:r>
              <w:rPr>
                <w:rFonts w:hint="eastAsia" w:ascii="宋体"/>
                <w:sz w:val="24"/>
                <w:highlight w:val="none"/>
                <w:lang w:val="en-US" w:eastAsia="zh-CN"/>
              </w:rPr>
              <w:t>46.1</w:t>
            </w:r>
            <w:r>
              <w:rPr>
                <w:rFonts w:hint="eastAsia" w:ascii="宋体"/>
                <w:sz w:val="24"/>
                <w:highlight w:val="none"/>
              </w:rPr>
              <w:t>万元</w:t>
            </w:r>
          </w:p>
        </w:tc>
      </w:tr>
      <w:tr w14:paraId="0D09E5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76" w:hRule="atLeast"/>
        </w:trPr>
        <w:tc>
          <w:tcPr>
            <w:tcW w:w="804" w:type="dxa"/>
            <w:vAlign w:val="center"/>
          </w:tcPr>
          <w:p w14:paraId="223AB481">
            <w:pPr>
              <w:spacing w:line="360" w:lineRule="auto"/>
              <w:jc w:val="center"/>
              <w:rPr>
                <w:rFonts w:ascii="宋体"/>
                <w:color w:val="000000"/>
                <w:sz w:val="24"/>
              </w:rPr>
            </w:pPr>
            <w:r>
              <w:rPr>
                <w:rFonts w:hint="eastAsia" w:ascii="宋体"/>
                <w:color w:val="000000"/>
                <w:sz w:val="24"/>
              </w:rPr>
              <w:t>5</w:t>
            </w:r>
          </w:p>
        </w:tc>
        <w:tc>
          <w:tcPr>
            <w:tcW w:w="2078" w:type="dxa"/>
            <w:vAlign w:val="center"/>
          </w:tcPr>
          <w:p w14:paraId="5E6120B1">
            <w:pPr>
              <w:pStyle w:val="25"/>
              <w:spacing w:line="360" w:lineRule="auto"/>
              <w:jc w:val="center"/>
              <w:rPr>
                <w:rFonts w:ascii="宋体"/>
                <w:szCs w:val="24"/>
              </w:rPr>
            </w:pPr>
            <w:r>
              <w:rPr>
                <w:rFonts w:hint="eastAsia" w:ascii="宋体" w:cs="Arial"/>
                <w:szCs w:val="24"/>
              </w:rPr>
              <w:t>报价</w:t>
            </w:r>
          </w:p>
        </w:tc>
        <w:tc>
          <w:tcPr>
            <w:tcW w:w="6966" w:type="dxa"/>
            <w:vAlign w:val="center"/>
          </w:tcPr>
          <w:p w14:paraId="0FC7270B">
            <w:pPr>
              <w:spacing w:line="360" w:lineRule="auto"/>
              <w:jc w:val="left"/>
              <w:rPr>
                <w:rFonts w:ascii="宋体"/>
                <w:sz w:val="24"/>
              </w:rPr>
            </w:pPr>
            <w:r>
              <w:rPr>
                <w:rFonts w:hint="eastAsia" w:ascii="宋体"/>
                <w:sz w:val="24"/>
              </w:rPr>
              <w:t>每个比选申请人只能有一个有效报价</w:t>
            </w:r>
          </w:p>
        </w:tc>
      </w:tr>
      <w:tr w14:paraId="04EACB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804" w:type="dxa"/>
            <w:vAlign w:val="center"/>
          </w:tcPr>
          <w:p w14:paraId="1E7980AB">
            <w:pPr>
              <w:spacing w:line="360" w:lineRule="auto"/>
              <w:jc w:val="center"/>
              <w:rPr>
                <w:rFonts w:ascii="宋体"/>
                <w:color w:val="000000"/>
                <w:sz w:val="24"/>
              </w:rPr>
            </w:pPr>
            <w:r>
              <w:rPr>
                <w:rFonts w:hint="eastAsia" w:ascii="宋体"/>
                <w:color w:val="000000"/>
                <w:sz w:val="24"/>
              </w:rPr>
              <w:t>6</w:t>
            </w:r>
          </w:p>
        </w:tc>
        <w:tc>
          <w:tcPr>
            <w:tcW w:w="2078" w:type="dxa"/>
            <w:vAlign w:val="center"/>
          </w:tcPr>
          <w:p w14:paraId="42ED89ED">
            <w:pPr>
              <w:pStyle w:val="25"/>
              <w:spacing w:line="360" w:lineRule="auto"/>
              <w:jc w:val="center"/>
              <w:rPr>
                <w:rFonts w:ascii="宋体"/>
                <w:szCs w:val="24"/>
              </w:rPr>
            </w:pPr>
            <w:r>
              <w:rPr>
                <w:rFonts w:hint="eastAsia" w:ascii="宋体"/>
                <w:szCs w:val="24"/>
              </w:rPr>
              <w:t>服务周期</w:t>
            </w:r>
          </w:p>
        </w:tc>
        <w:tc>
          <w:tcPr>
            <w:tcW w:w="6966" w:type="dxa"/>
            <w:vAlign w:val="center"/>
          </w:tcPr>
          <w:p w14:paraId="1B774300">
            <w:pPr>
              <w:spacing w:line="360" w:lineRule="auto"/>
              <w:rPr>
                <w:rFonts w:ascii="宋体"/>
                <w:sz w:val="24"/>
                <w:highlight w:val="none"/>
              </w:rPr>
            </w:pPr>
            <w:r>
              <w:rPr>
                <w:rFonts w:hint="eastAsia" w:ascii="宋体"/>
                <w:sz w:val="24"/>
                <w:highlight w:val="none"/>
              </w:rPr>
              <w:t>自合同签订之日起至202</w:t>
            </w:r>
            <w:r>
              <w:rPr>
                <w:rFonts w:hint="eastAsia" w:ascii="宋体"/>
                <w:sz w:val="24"/>
                <w:highlight w:val="none"/>
                <w:lang w:val="en-US" w:eastAsia="zh-CN"/>
              </w:rPr>
              <w:t>6</w:t>
            </w:r>
            <w:r>
              <w:rPr>
                <w:rFonts w:hint="eastAsia" w:ascii="宋体"/>
                <w:sz w:val="24"/>
                <w:highlight w:val="none"/>
              </w:rPr>
              <w:t>年</w:t>
            </w:r>
            <w:r>
              <w:rPr>
                <w:rFonts w:hint="eastAsia" w:ascii="宋体"/>
                <w:sz w:val="24"/>
                <w:highlight w:val="none"/>
                <w:lang w:val="en-US" w:eastAsia="zh-CN"/>
              </w:rPr>
              <w:t>11</w:t>
            </w:r>
            <w:r>
              <w:rPr>
                <w:rFonts w:hint="eastAsia" w:ascii="宋体"/>
                <w:sz w:val="24"/>
                <w:highlight w:val="none"/>
              </w:rPr>
              <w:t>月30日</w:t>
            </w:r>
          </w:p>
        </w:tc>
      </w:tr>
      <w:tr w14:paraId="436594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21" w:hRule="atLeast"/>
        </w:trPr>
        <w:tc>
          <w:tcPr>
            <w:tcW w:w="804" w:type="dxa"/>
            <w:vAlign w:val="center"/>
          </w:tcPr>
          <w:p w14:paraId="26D7C522">
            <w:pPr>
              <w:spacing w:line="360" w:lineRule="auto"/>
              <w:jc w:val="center"/>
              <w:rPr>
                <w:rFonts w:ascii="宋体"/>
                <w:color w:val="000000"/>
                <w:sz w:val="24"/>
              </w:rPr>
            </w:pPr>
            <w:r>
              <w:rPr>
                <w:rFonts w:hint="eastAsia" w:ascii="宋体"/>
                <w:color w:val="000000"/>
                <w:sz w:val="24"/>
              </w:rPr>
              <w:t>7</w:t>
            </w:r>
          </w:p>
        </w:tc>
        <w:tc>
          <w:tcPr>
            <w:tcW w:w="2078" w:type="dxa"/>
            <w:vAlign w:val="center"/>
          </w:tcPr>
          <w:p w14:paraId="7F9D576B">
            <w:pPr>
              <w:pStyle w:val="25"/>
              <w:spacing w:line="360" w:lineRule="auto"/>
              <w:jc w:val="center"/>
              <w:rPr>
                <w:rFonts w:ascii="宋体"/>
                <w:szCs w:val="24"/>
              </w:rPr>
            </w:pPr>
            <w:r>
              <w:rPr>
                <w:rFonts w:hint="eastAsia" w:ascii="宋体"/>
                <w:szCs w:val="24"/>
              </w:rPr>
              <w:t>资金来源</w:t>
            </w:r>
          </w:p>
        </w:tc>
        <w:tc>
          <w:tcPr>
            <w:tcW w:w="6966" w:type="dxa"/>
            <w:vAlign w:val="center"/>
          </w:tcPr>
          <w:p w14:paraId="691970F4">
            <w:pPr>
              <w:spacing w:line="360" w:lineRule="auto"/>
              <w:rPr>
                <w:rFonts w:ascii="宋体"/>
                <w:sz w:val="24"/>
              </w:rPr>
            </w:pPr>
            <w:r>
              <w:rPr>
                <w:rFonts w:hint="eastAsia" w:ascii="宋体"/>
                <w:sz w:val="24"/>
              </w:rPr>
              <w:t>政府投资</w:t>
            </w:r>
          </w:p>
        </w:tc>
      </w:tr>
      <w:tr w14:paraId="3D517D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844" w:hRule="atLeast"/>
        </w:trPr>
        <w:tc>
          <w:tcPr>
            <w:tcW w:w="804" w:type="dxa"/>
            <w:vAlign w:val="center"/>
          </w:tcPr>
          <w:p w14:paraId="72498121">
            <w:pPr>
              <w:spacing w:line="360" w:lineRule="auto"/>
              <w:jc w:val="center"/>
              <w:rPr>
                <w:rFonts w:ascii="宋体"/>
                <w:color w:val="000000"/>
                <w:sz w:val="24"/>
              </w:rPr>
            </w:pPr>
            <w:r>
              <w:rPr>
                <w:rFonts w:hint="eastAsia" w:ascii="宋体"/>
                <w:color w:val="000000"/>
                <w:sz w:val="24"/>
              </w:rPr>
              <w:t>8</w:t>
            </w:r>
          </w:p>
        </w:tc>
        <w:tc>
          <w:tcPr>
            <w:tcW w:w="2078" w:type="dxa"/>
            <w:vAlign w:val="center"/>
          </w:tcPr>
          <w:p w14:paraId="23CFC03D">
            <w:pPr>
              <w:spacing w:line="360" w:lineRule="auto"/>
              <w:jc w:val="center"/>
              <w:rPr>
                <w:rFonts w:ascii="宋体"/>
                <w:sz w:val="24"/>
              </w:rPr>
            </w:pPr>
            <w:r>
              <w:rPr>
                <w:rFonts w:hint="eastAsia" w:ascii="宋体"/>
                <w:sz w:val="24"/>
              </w:rPr>
              <w:t>资格要求</w:t>
            </w:r>
          </w:p>
        </w:tc>
        <w:tc>
          <w:tcPr>
            <w:tcW w:w="6966" w:type="dxa"/>
            <w:vAlign w:val="center"/>
          </w:tcPr>
          <w:p w14:paraId="243131EE">
            <w:pPr>
              <w:numPr>
                <w:ilvl w:val="-1"/>
                <w:numId w:val="0"/>
              </w:numPr>
              <w:spacing w:line="360" w:lineRule="auto"/>
              <w:rPr>
                <w:rFonts w:ascii="宋体"/>
                <w:sz w:val="24"/>
              </w:rPr>
            </w:pPr>
            <w:r>
              <w:rPr>
                <w:rFonts w:hint="eastAsia" w:ascii="宋体"/>
                <w:sz w:val="24"/>
                <w:lang w:val="en-US" w:eastAsia="zh-CN"/>
              </w:rPr>
              <w:t>1.</w:t>
            </w:r>
            <w:r>
              <w:rPr>
                <w:rFonts w:hint="eastAsia" w:ascii="宋体"/>
                <w:sz w:val="24"/>
              </w:rPr>
              <w:t>申请人须为依法注册的具有独立法人资格的单位；</w:t>
            </w:r>
          </w:p>
          <w:p w14:paraId="141C57F5">
            <w:pPr>
              <w:numPr>
                <w:ilvl w:val="-1"/>
                <w:numId w:val="0"/>
              </w:numPr>
              <w:spacing w:line="360" w:lineRule="auto"/>
              <w:rPr>
                <w:rFonts w:ascii="宋体"/>
                <w:sz w:val="24"/>
              </w:rPr>
            </w:pPr>
            <w:r>
              <w:rPr>
                <w:rFonts w:hint="eastAsia" w:ascii="宋体"/>
                <w:sz w:val="24"/>
                <w:lang w:val="en-US" w:eastAsia="zh-CN"/>
              </w:rPr>
              <w:t>2.</w:t>
            </w:r>
            <w:r>
              <w:rPr>
                <w:rFonts w:hint="eastAsia" w:ascii="宋体"/>
                <w:sz w:val="24"/>
              </w:rPr>
              <w:t>申请人</w:t>
            </w:r>
            <w:r>
              <w:rPr>
                <w:rFonts w:hint="eastAsia" w:ascii="宋体"/>
                <w:sz w:val="24"/>
                <w:lang w:val="en-US" w:eastAsia="zh-CN"/>
              </w:rPr>
              <w:t>具有</w:t>
            </w:r>
            <w:r>
              <w:rPr>
                <w:rFonts w:hint="eastAsia" w:ascii="宋体"/>
                <w:sz w:val="24"/>
                <w:highlight w:val="none"/>
              </w:rPr>
              <w:t>相关</w:t>
            </w:r>
            <w:r>
              <w:rPr>
                <w:rFonts w:hint="eastAsia" w:ascii="宋体"/>
                <w:sz w:val="24"/>
                <w:highlight w:val="none"/>
                <w:lang w:val="en-US" w:eastAsia="zh-CN"/>
              </w:rPr>
              <w:t>检测</w:t>
            </w:r>
            <w:r>
              <w:rPr>
                <w:rFonts w:hint="eastAsia" w:ascii="宋体"/>
                <w:sz w:val="24"/>
                <w:highlight w:val="none"/>
              </w:rPr>
              <w:t>资质</w:t>
            </w:r>
            <w:r>
              <w:rPr>
                <w:rFonts w:hint="eastAsia" w:ascii="宋体"/>
                <w:sz w:val="24"/>
                <w:highlight w:val="none"/>
                <w:lang w:val="en-US" w:eastAsia="zh-CN"/>
              </w:rPr>
              <w:t>和检测设备</w:t>
            </w:r>
            <w:r>
              <w:rPr>
                <w:rFonts w:hint="eastAsia" w:ascii="宋体"/>
                <w:sz w:val="24"/>
              </w:rPr>
              <w:t>；</w:t>
            </w:r>
          </w:p>
          <w:p w14:paraId="7FF659A9">
            <w:pPr>
              <w:spacing w:line="360" w:lineRule="auto"/>
              <w:rPr>
                <w:rFonts w:ascii="宋体"/>
                <w:b w:val="0"/>
                <w:bCs w:val="0"/>
                <w:sz w:val="24"/>
              </w:rPr>
            </w:pPr>
            <w:r>
              <w:rPr>
                <w:rFonts w:hint="eastAsia" w:ascii="宋体"/>
                <w:b w:val="0"/>
                <w:bCs w:val="0"/>
                <w:sz w:val="24"/>
              </w:rPr>
              <w:t>3.事业单位法人证书或单位法人营业执照、税务登记证、组织机构代码证（或三证合一）齐全，并且年检合格、有效；</w:t>
            </w:r>
          </w:p>
          <w:p w14:paraId="38818D78">
            <w:pPr>
              <w:spacing w:line="360" w:lineRule="auto"/>
              <w:rPr>
                <w:rFonts w:ascii="宋体"/>
                <w:sz w:val="24"/>
              </w:rPr>
            </w:pPr>
            <w:r>
              <w:rPr>
                <w:rFonts w:hint="eastAsia" w:ascii="宋体"/>
                <w:sz w:val="24"/>
              </w:rPr>
              <w:t>4.申请人被“信用中国”网站、“中国政府采购网”网站列入失信被执行人、重大税收违法案件当事人名单、政府采购严重违法失信行为记录名单之一的，不得参加本次项目的投标；</w:t>
            </w:r>
          </w:p>
          <w:p w14:paraId="64A5A195">
            <w:pPr>
              <w:spacing w:line="360" w:lineRule="auto"/>
              <w:rPr>
                <w:rFonts w:hint="eastAsia" w:ascii="宋体" w:eastAsia="宋体"/>
                <w:sz w:val="24"/>
                <w:lang w:val="en-US" w:eastAsia="zh-CN"/>
              </w:rPr>
            </w:pPr>
            <w:r>
              <w:rPr>
                <w:rFonts w:hint="eastAsia" w:ascii="宋体"/>
                <w:sz w:val="24"/>
              </w:rPr>
              <w:t>5</w:t>
            </w:r>
            <w:r>
              <w:rPr>
                <w:rFonts w:ascii="宋体"/>
                <w:sz w:val="24"/>
              </w:rPr>
              <w:t>.</w:t>
            </w:r>
            <w:r>
              <w:rPr>
                <w:rFonts w:hint="eastAsia" w:ascii="宋体"/>
                <w:sz w:val="24"/>
              </w:rPr>
              <w:t>申请人除上述条件，还须满足《中华人民共和国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tc>
      </w:tr>
      <w:tr w14:paraId="6FB441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04" w:type="dxa"/>
            <w:vAlign w:val="center"/>
          </w:tcPr>
          <w:p w14:paraId="1B1C0A4E">
            <w:pPr>
              <w:spacing w:line="360" w:lineRule="auto"/>
              <w:jc w:val="center"/>
              <w:rPr>
                <w:rFonts w:ascii="宋体"/>
                <w:color w:val="000000"/>
                <w:sz w:val="24"/>
              </w:rPr>
            </w:pPr>
            <w:r>
              <w:rPr>
                <w:rFonts w:hint="eastAsia" w:ascii="宋体"/>
                <w:color w:val="000000"/>
                <w:sz w:val="24"/>
              </w:rPr>
              <w:t>9</w:t>
            </w:r>
          </w:p>
        </w:tc>
        <w:tc>
          <w:tcPr>
            <w:tcW w:w="2078" w:type="dxa"/>
            <w:vAlign w:val="center"/>
          </w:tcPr>
          <w:p w14:paraId="79DF8788">
            <w:pPr>
              <w:spacing w:line="360" w:lineRule="auto"/>
              <w:jc w:val="center"/>
              <w:rPr>
                <w:rFonts w:ascii="宋体"/>
                <w:sz w:val="24"/>
              </w:rPr>
            </w:pPr>
            <w:r>
              <w:rPr>
                <w:rFonts w:hint="eastAsia" w:ascii="宋体"/>
                <w:sz w:val="24"/>
              </w:rPr>
              <w:t>现场踏勘</w:t>
            </w:r>
          </w:p>
        </w:tc>
        <w:tc>
          <w:tcPr>
            <w:tcW w:w="6966" w:type="dxa"/>
            <w:vAlign w:val="center"/>
          </w:tcPr>
          <w:p w14:paraId="217E94AB">
            <w:pPr>
              <w:spacing w:line="360" w:lineRule="auto"/>
              <w:rPr>
                <w:rFonts w:ascii="宋体"/>
                <w:sz w:val="24"/>
              </w:rPr>
            </w:pPr>
            <w:r>
              <w:rPr>
                <w:rFonts w:hint="eastAsia" w:ascii="宋体"/>
                <w:sz w:val="24"/>
              </w:rPr>
              <w:t>比选申请人自行考察</w:t>
            </w:r>
          </w:p>
        </w:tc>
      </w:tr>
      <w:tr w14:paraId="36FAE5E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55" w:hRule="atLeast"/>
        </w:trPr>
        <w:tc>
          <w:tcPr>
            <w:tcW w:w="804" w:type="dxa"/>
            <w:vAlign w:val="center"/>
          </w:tcPr>
          <w:p w14:paraId="4B58FF89">
            <w:pPr>
              <w:spacing w:line="360" w:lineRule="auto"/>
              <w:jc w:val="center"/>
              <w:rPr>
                <w:rFonts w:ascii="宋体"/>
                <w:color w:val="000000"/>
                <w:sz w:val="24"/>
              </w:rPr>
            </w:pPr>
            <w:r>
              <w:rPr>
                <w:rFonts w:hint="eastAsia" w:ascii="宋体"/>
                <w:color w:val="000000"/>
                <w:sz w:val="24"/>
              </w:rPr>
              <w:t>10</w:t>
            </w:r>
          </w:p>
        </w:tc>
        <w:tc>
          <w:tcPr>
            <w:tcW w:w="2078" w:type="dxa"/>
            <w:vAlign w:val="center"/>
          </w:tcPr>
          <w:p w14:paraId="450C8CF9">
            <w:pPr>
              <w:spacing w:line="360" w:lineRule="auto"/>
              <w:jc w:val="center"/>
              <w:rPr>
                <w:rFonts w:ascii="宋体"/>
                <w:sz w:val="24"/>
              </w:rPr>
            </w:pPr>
            <w:r>
              <w:rPr>
                <w:rFonts w:hint="eastAsia" w:ascii="宋体"/>
                <w:sz w:val="24"/>
              </w:rPr>
              <w:t>比选答疑</w:t>
            </w:r>
          </w:p>
        </w:tc>
        <w:tc>
          <w:tcPr>
            <w:tcW w:w="6966" w:type="dxa"/>
            <w:vAlign w:val="center"/>
          </w:tcPr>
          <w:p w14:paraId="7C1ADB78">
            <w:pPr>
              <w:spacing w:line="360" w:lineRule="auto"/>
              <w:rPr>
                <w:rFonts w:hint="eastAsia" w:ascii="宋体" w:eastAsia="宋体"/>
                <w:sz w:val="24"/>
                <w:lang w:eastAsia="zh-CN"/>
              </w:rPr>
            </w:pPr>
            <w:r>
              <w:rPr>
                <w:rFonts w:hint="eastAsia" w:ascii="宋体"/>
                <w:sz w:val="24"/>
              </w:rPr>
              <w:t>电话、邮件、书面函件等方式</w:t>
            </w:r>
            <w:r>
              <w:rPr>
                <w:rFonts w:hint="eastAsia" w:ascii="宋体"/>
                <w:sz w:val="24"/>
                <w:lang w:eastAsia="zh-CN"/>
              </w:rPr>
              <w:t>本比选项目按照《大兴区园林绿化局采购管理制度》及有关法律、法规和规章，通过比选方式选定</w:t>
            </w:r>
            <w:r>
              <w:rPr>
                <w:rFonts w:hint="eastAsia" w:ascii="宋体"/>
                <w:sz w:val="24"/>
                <w:lang w:val="en-US" w:eastAsia="zh-CN"/>
              </w:rPr>
              <w:t>大兴区梨园土壤盐渍化防治技术研究与应用</w:t>
            </w:r>
            <w:r>
              <w:rPr>
                <w:rFonts w:hint="eastAsia" w:ascii="宋体"/>
                <w:sz w:val="24"/>
                <w:lang w:eastAsia="zh-CN"/>
              </w:rPr>
              <w:t>项目技术服务单位。</w:t>
            </w:r>
          </w:p>
        </w:tc>
      </w:tr>
      <w:tr w14:paraId="13516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1165" w:hRule="atLeast"/>
        </w:trPr>
        <w:tc>
          <w:tcPr>
            <w:tcW w:w="804" w:type="dxa"/>
            <w:tcBorders>
              <w:bottom w:val="single" w:color="auto" w:sz="4" w:space="0"/>
            </w:tcBorders>
            <w:vAlign w:val="center"/>
          </w:tcPr>
          <w:p w14:paraId="3F247A40">
            <w:pPr>
              <w:spacing w:line="360" w:lineRule="auto"/>
              <w:jc w:val="center"/>
              <w:rPr>
                <w:rFonts w:ascii="宋体"/>
                <w:color w:val="000000"/>
                <w:sz w:val="24"/>
              </w:rPr>
            </w:pPr>
            <w:r>
              <w:rPr>
                <w:rFonts w:hint="eastAsia" w:ascii="宋体"/>
                <w:color w:val="000000"/>
                <w:sz w:val="24"/>
              </w:rPr>
              <w:t>11</w:t>
            </w:r>
          </w:p>
        </w:tc>
        <w:tc>
          <w:tcPr>
            <w:tcW w:w="2078" w:type="dxa"/>
            <w:tcBorders>
              <w:bottom w:val="single" w:color="auto" w:sz="4" w:space="0"/>
            </w:tcBorders>
            <w:vAlign w:val="center"/>
          </w:tcPr>
          <w:p w14:paraId="202395CA">
            <w:pPr>
              <w:spacing w:line="360" w:lineRule="auto"/>
              <w:jc w:val="center"/>
              <w:rPr>
                <w:rFonts w:ascii="宋体"/>
                <w:sz w:val="24"/>
              </w:rPr>
            </w:pPr>
            <w:r>
              <w:rPr>
                <w:rFonts w:hint="eastAsia" w:ascii="宋体"/>
                <w:sz w:val="24"/>
              </w:rPr>
              <w:t>比选响应文件份数</w:t>
            </w:r>
          </w:p>
        </w:tc>
        <w:tc>
          <w:tcPr>
            <w:tcW w:w="6966" w:type="dxa"/>
            <w:tcBorders>
              <w:bottom w:val="single" w:color="auto" w:sz="4" w:space="0"/>
            </w:tcBorders>
            <w:vAlign w:val="center"/>
          </w:tcPr>
          <w:p w14:paraId="39E974EF">
            <w:pPr>
              <w:spacing w:line="360" w:lineRule="auto"/>
              <w:rPr>
                <w:rFonts w:ascii="宋体"/>
                <w:sz w:val="24"/>
              </w:rPr>
            </w:pPr>
            <w:r>
              <w:rPr>
                <w:rFonts w:hint="eastAsia" w:ascii="宋体"/>
                <w:sz w:val="24"/>
              </w:rPr>
              <w:t>纸质正本一份、副本文件两份</w:t>
            </w:r>
          </w:p>
        </w:tc>
      </w:tr>
      <w:tr w14:paraId="023FAB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951" w:hRule="atLeast"/>
        </w:trPr>
        <w:tc>
          <w:tcPr>
            <w:tcW w:w="804" w:type="dxa"/>
            <w:vAlign w:val="center"/>
          </w:tcPr>
          <w:p w14:paraId="14B19DEA">
            <w:pPr>
              <w:spacing w:line="360" w:lineRule="auto"/>
              <w:jc w:val="center"/>
              <w:rPr>
                <w:rFonts w:ascii="宋体"/>
                <w:color w:val="000000"/>
                <w:sz w:val="24"/>
              </w:rPr>
            </w:pPr>
            <w:r>
              <w:rPr>
                <w:rFonts w:hint="eastAsia" w:ascii="宋体"/>
                <w:color w:val="000000"/>
                <w:sz w:val="24"/>
              </w:rPr>
              <w:t>12</w:t>
            </w:r>
          </w:p>
        </w:tc>
        <w:tc>
          <w:tcPr>
            <w:tcW w:w="2078" w:type="dxa"/>
            <w:vAlign w:val="center"/>
          </w:tcPr>
          <w:p w14:paraId="5A7E5CC7">
            <w:pPr>
              <w:spacing w:line="360" w:lineRule="auto"/>
              <w:jc w:val="center"/>
              <w:rPr>
                <w:rFonts w:ascii="宋体"/>
                <w:color w:val="000000"/>
                <w:sz w:val="24"/>
              </w:rPr>
            </w:pPr>
            <w:r>
              <w:rPr>
                <w:rFonts w:hint="eastAsia" w:ascii="宋体"/>
                <w:color w:val="000000"/>
                <w:sz w:val="24"/>
              </w:rPr>
              <w:t>比选响应文件提交地点及时间</w:t>
            </w:r>
          </w:p>
        </w:tc>
        <w:tc>
          <w:tcPr>
            <w:tcW w:w="6966" w:type="dxa"/>
            <w:vAlign w:val="center"/>
          </w:tcPr>
          <w:p w14:paraId="33288088">
            <w:pPr>
              <w:spacing w:line="360" w:lineRule="auto"/>
              <w:rPr>
                <w:rFonts w:ascii="宋体"/>
                <w:sz w:val="24"/>
                <w:highlight w:val="none"/>
              </w:rPr>
            </w:pPr>
            <w:r>
              <w:rPr>
                <w:rFonts w:hint="eastAsia" w:ascii="宋体"/>
                <w:sz w:val="24"/>
              </w:rPr>
              <w:t>时间：</w:t>
            </w:r>
            <w:r>
              <w:rPr>
                <w:rFonts w:hint="eastAsia" w:ascii="宋体"/>
                <w:sz w:val="24"/>
                <w:highlight w:val="none"/>
              </w:rPr>
              <w:t>202</w:t>
            </w:r>
            <w:r>
              <w:rPr>
                <w:rFonts w:hint="eastAsia" w:ascii="宋体"/>
                <w:sz w:val="24"/>
                <w:highlight w:val="none"/>
                <w:lang w:val="en-US" w:eastAsia="zh-CN"/>
              </w:rPr>
              <w:t>5</w:t>
            </w:r>
            <w:r>
              <w:rPr>
                <w:rFonts w:hint="eastAsia" w:ascii="宋体"/>
                <w:sz w:val="24"/>
                <w:highlight w:val="none"/>
              </w:rPr>
              <w:t>年</w:t>
            </w:r>
            <w:r>
              <w:rPr>
                <w:rFonts w:hint="eastAsia" w:ascii="宋体"/>
                <w:sz w:val="24"/>
                <w:highlight w:val="none"/>
                <w:u w:val="single"/>
                <w:lang w:val="en-US" w:eastAsia="zh-CN"/>
              </w:rPr>
              <w:t>9</w:t>
            </w:r>
            <w:r>
              <w:rPr>
                <w:rFonts w:hint="eastAsia" w:ascii="宋体"/>
                <w:sz w:val="24"/>
                <w:highlight w:val="none"/>
              </w:rPr>
              <w:t>月</w:t>
            </w:r>
            <w:r>
              <w:rPr>
                <w:rFonts w:hint="eastAsia" w:ascii="宋体"/>
                <w:color w:val="auto"/>
                <w:sz w:val="24"/>
                <w:highlight w:val="none"/>
                <w:u w:val="single"/>
                <w:lang w:val="en-US" w:eastAsia="zh-CN"/>
              </w:rPr>
              <w:t xml:space="preserve"> 19 </w:t>
            </w:r>
            <w:r>
              <w:rPr>
                <w:rFonts w:hint="eastAsia" w:ascii="宋体"/>
                <w:sz w:val="24"/>
                <w:highlight w:val="none"/>
              </w:rPr>
              <w:t>日 1</w:t>
            </w:r>
            <w:r>
              <w:rPr>
                <w:rFonts w:hint="eastAsia" w:ascii="宋体"/>
                <w:sz w:val="24"/>
                <w:highlight w:val="none"/>
                <w:lang w:val="en-US" w:eastAsia="zh-CN"/>
              </w:rPr>
              <w:t>6</w:t>
            </w:r>
            <w:r>
              <w:rPr>
                <w:rFonts w:hint="eastAsia" w:ascii="宋体"/>
                <w:sz w:val="24"/>
                <w:highlight w:val="none"/>
              </w:rPr>
              <w:t>时00</w:t>
            </w:r>
            <w:r>
              <w:rPr>
                <w:rFonts w:hint="eastAsia" w:ascii="宋体"/>
                <w:sz w:val="24"/>
                <w:highlight w:val="none"/>
                <w:u w:val="single"/>
              </w:rPr>
              <w:t>分</w:t>
            </w:r>
            <w:r>
              <w:rPr>
                <w:rFonts w:hint="eastAsia" w:ascii="宋体"/>
                <w:sz w:val="24"/>
                <w:highlight w:val="none"/>
              </w:rPr>
              <w:t>前</w:t>
            </w:r>
          </w:p>
          <w:p w14:paraId="19F84E4A">
            <w:pPr>
              <w:spacing w:line="360" w:lineRule="auto"/>
              <w:rPr>
                <w:rFonts w:ascii="宋体"/>
                <w:sz w:val="24"/>
                <w:u w:val="single"/>
              </w:rPr>
            </w:pPr>
            <w:r>
              <w:rPr>
                <w:rFonts w:hint="eastAsia" w:ascii="宋体"/>
                <w:sz w:val="24"/>
              </w:rPr>
              <w:t>地点：北京市大兴区桐城行政办公楼14号楼40</w:t>
            </w:r>
            <w:r>
              <w:rPr>
                <w:rFonts w:hint="eastAsia" w:ascii="宋体"/>
                <w:sz w:val="24"/>
                <w:lang w:val="en-US" w:eastAsia="zh-CN"/>
              </w:rPr>
              <w:t>3</w:t>
            </w:r>
            <w:r>
              <w:rPr>
                <w:rFonts w:hint="eastAsia" w:ascii="宋体"/>
                <w:sz w:val="24"/>
              </w:rPr>
              <w:t>室</w:t>
            </w:r>
          </w:p>
        </w:tc>
      </w:tr>
      <w:tr w14:paraId="7F6DD6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04" w:type="dxa"/>
            <w:vAlign w:val="center"/>
          </w:tcPr>
          <w:p w14:paraId="16925E03">
            <w:pPr>
              <w:spacing w:line="360" w:lineRule="auto"/>
              <w:jc w:val="center"/>
              <w:rPr>
                <w:rFonts w:ascii="宋体"/>
                <w:color w:val="000000"/>
                <w:sz w:val="24"/>
              </w:rPr>
            </w:pPr>
            <w:r>
              <w:rPr>
                <w:rFonts w:hint="eastAsia" w:ascii="宋体"/>
                <w:color w:val="000000"/>
                <w:sz w:val="24"/>
              </w:rPr>
              <w:t>13</w:t>
            </w:r>
          </w:p>
        </w:tc>
        <w:tc>
          <w:tcPr>
            <w:tcW w:w="2078" w:type="dxa"/>
            <w:vAlign w:val="center"/>
          </w:tcPr>
          <w:p w14:paraId="6E7FA3FA">
            <w:pPr>
              <w:spacing w:line="360" w:lineRule="auto"/>
              <w:jc w:val="center"/>
              <w:rPr>
                <w:rFonts w:ascii="宋体"/>
                <w:color w:val="000000"/>
                <w:sz w:val="24"/>
              </w:rPr>
            </w:pPr>
            <w:r>
              <w:rPr>
                <w:rFonts w:hint="eastAsia" w:ascii="宋体"/>
                <w:color w:val="000000"/>
                <w:sz w:val="24"/>
              </w:rPr>
              <w:t>比选方法</w:t>
            </w:r>
          </w:p>
        </w:tc>
        <w:tc>
          <w:tcPr>
            <w:tcW w:w="6966" w:type="dxa"/>
            <w:vAlign w:val="center"/>
          </w:tcPr>
          <w:p w14:paraId="18F6219B">
            <w:pPr>
              <w:spacing w:line="360" w:lineRule="auto"/>
              <w:rPr>
                <w:rFonts w:ascii="宋体"/>
                <w:color w:val="000000"/>
                <w:sz w:val="24"/>
              </w:rPr>
            </w:pPr>
            <w:r>
              <w:rPr>
                <w:rFonts w:hint="eastAsia" w:ascii="宋体"/>
                <w:color w:val="000000"/>
                <w:sz w:val="24"/>
              </w:rPr>
              <w:t>综合评估法</w:t>
            </w:r>
          </w:p>
        </w:tc>
      </w:tr>
    </w:tbl>
    <w:p w14:paraId="297193CB">
      <w:pPr>
        <w:pStyle w:val="2"/>
        <w:keepLines/>
        <w:widowControl w:val="0"/>
        <w:spacing w:before="360" w:after="360" w:line="500" w:lineRule="exact"/>
        <w:rPr>
          <w:rFonts w:ascii="宋体" w:eastAsia="宋体"/>
          <w:b/>
          <w:bCs/>
          <w:color w:val="000000"/>
          <w:kern w:val="44"/>
          <w:sz w:val="44"/>
          <w:szCs w:val="44"/>
        </w:rPr>
      </w:pPr>
      <w:bookmarkStart w:id="3" w:name="_Toc72240821"/>
      <w:bookmarkStart w:id="4" w:name="_Toc83700574"/>
      <w:bookmarkStart w:id="5" w:name="_Toc78616697"/>
      <w:r>
        <w:rPr>
          <w:rFonts w:hint="eastAsia" w:ascii="宋体" w:eastAsia="宋体"/>
          <w:color w:val="000000"/>
        </w:rPr>
        <w:br w:type="page"/>
      </w:r>
      <w:bookmarkEnd w:id="3"/>
      <w:bookmarkEnd w:id="4"/>
      <w:bookmarkEnd w:id="5"/>
      <w:bookmarkStart w:id="6" w:name="_Toc291754346"/>
      <w:bookmarkStart w:id="7" w:name="_Toc83700575"/>
      <w:r>
        <w:rPr>
          <w:rFonts w:hint="eastAsia" w:ascii="宋体" w:eastAsia="宋体"/>
          <w:b/>
          <w:bCs/>
          <w:color w:val="000000"/>
          <w:kern w:val="44"/>
          <w:sz w:val="44"/>
          <w:szCs w:val="44"/>
        </w:rPr>
        <w:t>第三章  比选须知</w:t>
      </w:r>
      <w:bookmarkEnd w:id="6"/>
      <w:bookmarkEnd w:id="7"/>
    </w:p>
    <w:p w14:paraId="3FD505DC">
      <w:pPr>
        <w:pStyle w:val="3"/>
        <w:keepLines w:val="0"/>
        <w:widowControl w:val="0"/>
        <w:spacing w:before="192" w:beforeLines="80" w:after="192" w:afterLines="80" w:line="500" w:lineRule="exact"/>
        <w:rPr>
          <w:rFonts w:ascii="宋体" w:eastAsia="宋体"/>
          <w:color w:val="000000"/>
          <w:kern w:val="2"/>
          <w:szCs w:val="24"/>
        </w:rPr>
      </w:pPr>
      <w:bookmarkStart w:id="8" w:name="_Toc291695240"/>
      <w:bookmarkStart w:id="9" w:name="_Toc291754347"/>
      <w:r>
        <w:rPr>
          <w:rFonts w:hint="eastAsia" w:ascii="宋体" w:eastAsia="宋体"/>
          <w:color w:val="000000"/>
          <w:kern w:val="2"/>
          <w:szCs w:val="24"/>
        </w:rPr>
        <w:t>一、总 则</w:t>
      </w:r>
      <w:bookmarkEnd w:id="8"/>
      <w:bookmarkEnd w:id="9"/>
    </w:p>
    <w:p w14:paraId="1FAA62A8">
      <w:pPr>
        <w:pStyle w:val="5"/>
        <w:widowControl w:val="0"/>
        <w:spacing w:before="0" w:after="0" w:line="480" w:lineRule="exact"/>
        <w:ind w:firstLine="482" w:firstLineChars="200"/>
        <w:jc w:val="both"/>
        <w:rPr>
          <w:rFonts w:ascii="宋体"/>
          <w:bCs/>
          <w:color w:val="000000"/>
          <w:kern w:val="2"/>
          <w:sz w:val="24"/>
          <w:szCs w:val="24"/>
        </w:rPr>
      </w:pPr>
      <w:bookmarkStart w:id="10" w:name="_Toc291754348"/>
      <w:bookmarkStart w:id="11" w:name="_Toc291695241"/>
      <w:r>
        <w:rPr>
          <w:rFonts w:hint="eastAsia" w:ascii="宋体"/>
          <w:bCs/>
          <w:color w:val="000000"/>
          <w:kern w:val="2"/>
          <w:sz w:val="24"/>
          <w:szCs w:val="24"/>
        </w:rPr>
        <w:t>1.本次比选文件使用的词语有如下定义</w:t>
      </w:r>
      <w:bookmarkEnd w:id="10"/>
      <w:bookmarkEnd w:id="11"/>
    </w:p>
    <w:p w14:paraId="0D5A6003">
      <w:pPr>
        <w:spacing w:line="440" w:lineRule="exact"/>
        <w:ind w:firstLine="480" w:firstLineChars="200"/>
        <w:rPr>
          <w:rFonts w:ascii="宋体"/>
          <w:color w:val="000000"/>
          <w:sz w:val="24"/>
        </w:rPr>
      </w:pPr>
      <w:r>
        <w:rPr>
          <w:rFonts w:hint="eastAsia" w:ascii="宋体"/>
          <w:color w:val="000000"/>
          <w:sz w:val="24"/>
        </w:rPr>
        <w:t>1.1 比选人：</w:t>
      </w:r>
      <w:r>
        <w:rPr>
          <w:rFonts w:hint="eastAsia" w:ascii="宋体" w:cs="Arial"/>
          <w:color w:val="000000"/>
          <w:sz w:val="24"/>
        </w:rPr>
        <w:t>项目业主</w:t>
      </w:r>
    </w:p>
    <w:p w14:paraId="6E0E360B">
      <w:pPr>
        <w:spacing w:line="440" w:lineRule="exact"/>
        <w:ind w:firstLine="480" w:firstLineChars="200"/>
        <w:rPr>
          <w:rFonts w:ascii="宋体"/>
          <w:color w:val="000000"/>
          <w:sz w:val="24"/>
        </w:rPr>
      </w:pPr>
      <w:r>
        <w:rPr>
          <w:rFonts w:hint="eastAsia" w:ascii="宋体"/>
          <w:color w:val="000000"/>
          <w:sz w:val="24"/>
        </w:rPr>
        <w:t>1.2比选申请人：指接到比选邀请书，并在规定时间领取了比选文件的当事人。</w:t>
      </w:r>
    </w:p>
    <w:p w14:paraId="67591E29">
      <w:pPr>
        <w:spacing w:line="440" w:lineRule="exact"/>
        <w:ind w:right="-263" w:rightChars="-125" w:firstLine="480" w:firstLineChars="200"/>
        <w:rPr>
          <w:rFonts w:ascii="宋体"/>
          <w:color w:val="000000"/>
          <w:sz w:val="24"/>
        </w:rPr>
      </w:pPr>
      <w:r>
        <w:rPr>
          <w:rFonts w:hint="eastAsia" w:ascii="宋体"/>
          <w:color w:val="000000"/>
          <w:sz w:val="24"/>
        </w:rPr>
        <w:t>1.3 中选人：通过评比，在比选小组会推荐的中选人。</w:t>
      </w:r>
    </w:p>
    <w:p w14:paraId="30841BB7">
      <w:pPr>
        <w:spacing w:line="440" w:lineRule="exact"/>
        <w:ind w:firstLine="480" w:firstLineChars="200"/>
        <w:rPr>
          <w:rFonts w:ascii="宋体"/>
          <w:color w:val="000000"/>
          <w:sz w:val="24"/>
        </w:rPr>
      </w:pPr>
      <w:r>
        <w:rPr>
          <w:rFonts w:hint="eastAsia" w:ascii="宋体"/>
          <w:color w:val="000000"/>
          <w:sz w:val="24"/>
        </w:rPr>
        <w:t>1.4 比选文件：指由比选人发出的有关本次项目比选的文件，包括全部章节和附件、补充文件、答疑纪要等。</w:t>
      </w:r>
    </w:p>
    <w:p w14:paraId="43A1F791">
      <w:pPr>
        <w:spacing w:line="440" w:lineRule="exact"/>
        <w:ind w:firstLine="480" w:firstLineChars="200"/>
        <w:rPr>
          <w:rFonts w:ascii="宋体"/>
          <w:color w:val="000000"/>
          <w:sz w:val="24"/>
        </w:rPr>
      </w:pPr>
      <w:r>
        <w:rPr>
          <w:rFonts w:hint="eastAsia" w:ascii="宋体"/>
          <w:color w:val="000000"/>
          <w:sz w:val="24"/>
        </w:rPr>
        <w:t>1.5 比选响应文件：指受邀比选申请人根据比选文件要求向比选人提交的比选响应文件。</w:t>
      </w:r>
    </w:p>
    <w:p w14:paraId="250E912B">
      <w:pPr>
        <w:spacing w:line="440" w:lineRule="exact"/>
        <w:ind w:firstLine="480" w:firstLineChars="200"/>
        <w:rPr>
          <w:rFonts w:ascii="宋体"/>
          <w:color w:val="000000"/>
          <w:sz w:val="24"/>
        </w:rPr>
      </w:pPr>
      <w:r>
        <w:rPr>
          <w:rFonts w:hint="eastAsia" w:ascii="宋体"/>
          <w:color w:val="000000"/>
          <w:sz w:val="24"/>
        </w:rPr>
        <w:t>1.6 书面函件：指打印或印刷的函件，包括电报及传真。</w:t>
      </w:r>
    </w:p>
    <w:p w14:paraId="686383AB">
      <w:pPr>
        <w:pStyle w:val="5"/>
        <w:widowControl w:val="0"/>
        <w:spacing w:before="0" w:after="0" w:line="500" w:lineRule="exact"/>
        <w:ind w:firstLine="482" w:firstLineChars="200"/>
        <w:jc w:val="both"/>
        <w:rPr>
          <w:rFonts w:ascii="宋体"/>
          <w:bCs/>
          <w:color w:val="000000"/>
          <w:kern w:val="2"/>
          <w:sz w:val="24"/>
          <w:szCs w:val="24"/>
        </w:rPr>
      </w:pPr>
      <w:bookmarkStart w:id="12" w:name="_Toc291754349"/>
      <w:bookmarkStart w:id="13" w:name="_Toc291695242"/>
      <w:r>
        <w:rPr>
          <w:rFonts w:hint="eastAsia" w:ascii="宋体"/>
          <w:bCs/>
          <w:color w:val="000000"/>
          <w:kern w:val="2"/>
          <w:sz w:val="24"/>
          <w:szCs w:val="24"/>
        </w:rPr>
        <w:t>2.项目说明</w:t>
      </w:r>
      <w:bookmarkEnd w:id="12"/>
      <w:bookmarkEnd w:id="13"/>
    </w:p>
    <w:p w14:paraId="0965D426">
      <w:pPr>
        <w:pStyle w:val="42"/>
        <w:numPr>
          <w:ilvl w:val="0"/>
          <w:numId w:val="0"/>
        </w:numPr>
        <w:tabs>
          <w:tab w:val="left" w:pos="0"/>
        </w:tabs>
        <w:snapToGrid/>
        <w:ind w:firstLine="528" w:firstLineChars="200"/>
        <w:rPr>
          <w:rFonts w:ascii="宋体"/>
          <w:color w:val="auto"/>
          <w:sz w:val="24"/>
          <w:highlight w:val="none"/>
        </w:rPr>
      </w:pPr>
      <w:r>
        <w:rPr>
          <w:rFonts w:hint="eastAsia" w:ascii="宋体"/>
          <w:color w:val="000000"/>
          <w:sz w:val="24"/>
        </w:rPr>
        <w:t>2.1</w:t>
      </w:r>
      <w:r>
        <w:rPr>
          <w:rFonts w:hint="eastAsia" w:ascii="宋体"/>
          <w:color w:val="000000"/>
          <w:sz w:val="24"/>
          <w:highlight w:val="none"/>
        </w:rPr>
        <w:t>本比选项目按照《大兴区园林绿化局采购管理制度》及有关法律、法规和规章，通过比选方式选定</w:t>
      </w:r>
      <w:r>
        <w:rPr>
          <w:rFonts w:hint="eastAsia"/>
          <w:color w:val="000000"/>
          <w:sz w:val="24"/>
          <w:highlight w:val="none"/>
          <w:lang w:val="en-US" w:eastAsia="zh-CN"/>
        </w:rPr>
        <w:t>大兴区梨园土壤盐渍化防治技术研究与应用</w:t>
      </w:r>
      <w:r>
        <w:rPr>
          <w:rFonts w:hint="eastAsia" w:ascii="宋体"/>
          <w:color w:val="000000"/>
          <w:sz w:val="24"/>
          <w:highlight w:val="none"/>
        </w:rPr>
        <w:t>项目技术服务单位，</w:t>
      </w:r>
      <w:r>
        <w:rPr>
          <w:rFonts w:hint="eastAsia" w:ascii="宋体"/>
          <w:sz w:val="24"/>
        </w:rPr>
        <w:t xml:space="preserve">工作内容： </w:t>
      </w:r>
      <w:r>
        <w:rPr>
          <w:rFonts w:hint="eastAsia" w:ascii="宋体" w:hAnsi="Times New Roman" w:cs="Times New Roman"/>
          <w:color w:val="000000"/>
          <w:sz w:val="24"/>
          <w:lang w:val="en-US" w:eastAsia="zh-CN"/>
        </w:rPr>
        <w:t>1.完成草种筛选：对不同施肥模式下不同盐渍化风险果园进行土壤基础理化指标</w:t>
      </w:r>
      <w:r>
        <w:rPr>
          <w:rFonts w:hint="eastAsia" w:cs="Times New Roman"/>
          <w:color w:val="000000"/>
          <w:sz w:val="24"/>
          <w:lang w:val="en-US" w:eastAsia="zh-CN"/>
        </w:rPr>
        <w:t>检测</w:t>
      </w:r>
      <w:r>
        <w:rPr>
          <w:rFonts w:hint="eastAsia" w:ascii="宋体" w:hAnsi="Times New Roman" w:cs="Times New Roman"/>
          <w:color w:val="000000"/>
          <w:sz w:val="24"/>
          <w:lang w:val="en-US" w:eastAsia="zh-CN"/>
        </w:rPr>
        <w:t>、草种生物量及碳氮含量等指标监测</w:t>
      </w:r>
      <w:r>
        <w:rPr>
          <w:rFonts w:hint="eastAsia" w:cs="Times New Roman"/>
          <w:color w:val="000000"/>
          <w:sz w:val="24"/>
          <w:lang w:val="en-US" w:eastAsia="zh-CN"/>
        </w:rPr>
        <w:t>检测</w:t>
      </w:r>
      <w:r>
        <w:rPr>
          <w:rFonts w:hint="eastAsia" w:ascii="宋体" w:hAnsi="Times New Roman" w:cs="Times New Roman"/>
          <w:color w:val="000000"/>
          <w:sz w:val="24"/>
          <w:lang w:val="en-US" w:eastAsia="zh-CN"/>
        </w:rPr>
        <w:t>，综合分析，筛选出不同盐渍化风险土壤园区适宜草种和种植密度；2.对果园修剪废弃物堆肥化处理后的指标进行检测，满足畜禽粪便堆肥技术规范（NY/T3442-2019）限量指标要求，同时测定堆肥氯离子质量分数、全盐含量，用于评价堆肥产物盐分情况；3.对筛选确定的处理进行土壤、果品测试</w:t>
      </w:r>
      <w:r>
        <w:rPr>
          <w:rFonts w:hint="eastAsia" w:cs="Times New Roman"/>
          <w:color w:val="000000"/>
          <w:sz w:val="24"/>
          <w:lang w:val="en-US" w:eastAsia="zh-CN"/>
        </w:rPr>
        <w:t>，</w:t>
      </w:r>
      <w:r>
        <w:rPr>
          <w:rFonts w:hint="eastAsia" w:ascii="宋体" w:hAnsi="Times New Roman" w:cs="Times New Roman"/>
          <w:color w:val="000000"/>
          <w:sz w:val="24"/>
          <w:lang w:val="en-US" w:eastAsia="zh-CN"/>
        </w:rPr>
        <w:t>植物多样性、草种生物量</w:t>
      </w:r>
      <w:r>
        <w:rPr>
          <w:rFonts w:hint="eastAsia" w:cs="Times New Roman"/>
          <w:color w:val="000000"/>
          <w:sz w:val="24"/>
          <w:lang w:val="en-US" w:eastAsia="zh-CN"/>
        </w:rPr>
        <w:t>监测</w:t>
      </w:r>
      <w:r>
        <w:rPr>
          <w:rFonts w:hint="eastAsia" w:ascii="宋体" w:hAnsi="Times New Roman" w:cs="Times New Roman"/>
          <w:color w:val="000000"/>
          <w:sz w:val="24"/>
          <w:lang w:val="en-US" w:eastAsia="zh-CN"/>
        </w:rPr>
        <w:t>结果综合分析并得出</w:t>
      </w:r>
      <w:r>
        <w:rPr>
          <w:rFonts w:hint="eastAsia"/>
          <w:sz w:val="24"/>
          <w:lang w:val="en-US" w:eastAsia="zh-CN"/>
        </w:rPr>
        <w:t>适宜不同施肥模式和不同盐渍化风险等级梨园适宜草种及匹配的优化施肥方案，并撰写大兴区梨园生草技术研究与应用评价报告和指导技术手册。</w:t>
      </w:r>
    </w:p>
    <w:p w14:paraId="0F784417">
      <w:pPr>
        <w:spacing w:line="360" w:lineRule="auto"/>
        <w:ind w:firstLine="480" w:firstLineChars="200"/>
        <w:rPr>
          <w:rFonts w:ascii="宋体"/>
          <w:color w:val="000000"/>
          <w:sz w:val="24"/>
          <w:highlight w:val="none"/>
        </w:rPr>
      </w:pPr>
      <w:r>
        <w:rPr>
          <w:rFonts w:hint="eastAsia" w:ascii="宋体"/>
          <w:color w:val="000000"/>
          <w:sz w:val="24"/>
        </w:rPr>
        <w:t>2.2本比选项目说明详见比选须知前附表第</w:t>
      </w:r>
      <w:r>
        <w:rPr>
          <w:rFonts w:hint="eastAsia" w:ascii="宋体"/>
          <w:color w:val="000000"/>
          <w:sz w:val="24"/>
          <w:highlight w:val="none"/>
        </w:rPr>
        <w:t>1项～第5项。</w:t>
      </w:r>
    </w:p>
    <w:p w14:paraId="6AE8DC31">
      <w:pPr>
        <w:spacing w:line="440" w:lineRule="exact"/>
        <w:ind w:firstLine="480" w:firstLineChars="200"/>
        <w:rPr>
          <w:rFonts w:ascii="宋体"/>
          <w:color w:val="000000"/>
          <w:sz w:val="24"/>
          <w:highlight w:val="none"/>
        </w:rPr>
      </w:pPr>
      <w:r>
        <w:rPr>
          <w:rFonts w:hint="eastAsia" w:ascii="宋体"/>
          <w:color w:val="000000"/>
          <w:sz w:val="24"/>
          <w:highlight w:val="none"/>
        </w:rPr>
        <w:t>2.3本比选项目的工期要求详见比选须知前附表第6项。</w:t>
      </w:r>
    </w:p>
    <w:p w14:paraId="79533559">
      <w:pPr>
        <w:pStyle w:val="5"/>
        <w:widowControl w:val="0"/>
        <w:spacing w:before="0" w:after="0" w:line="500" w:lineRule="exact"/>
        <w:ind w:firstLine="482" w:firstLineChars="200"/>
        <w:jc w:val="both"/>
        <w:rPr>
          <w:rFonts w:ascii="宋体"/>
          <w:bCs/>
          <w:color w:val="000000"/>
          <w:kern w:val="2"/>
          <w:sz w:val="24"/>
          <w:szCs w:val="24"/>
          <w:highlight w:val="none"/>
        </w:rPr>
      </w:pPr>
      <w:bookmarkStart w:id="14" w:name="_Toc291695243"/>
      <w:bookmarkStart w:id="15" w:name="_Toc291754350"/>
      <w:r>
        <w:rPr>
          <w:rFonts w:hint="eastAsia" w:ascii="宋体"/>
          <w:bCs/>
          <w:color w:val="000000"/>
          <w:kern w:val="2"/>
          <w:sz w:val="24"/>
          <w:szCs w:val="24"/>
          <w:highlight w:val="none"/>
        </w:rPr>
        <w:t>3.资金来源</w:t>
      </w:r>
      <w:bookmarkEnd w:id="14"/>
      <w:bookmarkEnd w:id="15"/>
    </w:p>
    <w:p w14:paraId="218AD717">
      <w:pPr>
        <w:spacing w:line="440" w:lineRule="exact"/>
        <w:ind w:firstLine="480" w:firstLineChars="200"/>
        <w:rPr>
          <w:rFonts w:ascii="宋体"/>
          <w:color w:val="000000"/>
          <w:sz w:val="24"/>
        </w:rPr>
      </w:pPr>
      <w:r>
        <w:rPr>
          <w:rFonts w:hint="eastAsia" w:ascii="宋体"/>
          <w:color w:val="000000"/>
          <w:sz w:val="24"/>
          <w:highlight w:val="none"/>
        </w:rPr>
        <w:t>3.1 本比选项目资金来源详见比选须知前附表第7项。</w:t>
      </w:r>
    </w:p>
    <w:p w14:paraId="6D377A06">
      <w:pPr>
        <w:pStyle w:val="5"/>
        <w:widowControl w:val="0"/>
        <w:spacing w:before="0" w:after="0" w:line="500" w:lineRule="exact"/>
        <w:ind w:firstLine="482" w:firstLineChars="200"/>
        <w:jc w:val="both"/>
        <w:rPr>
          <w:rFonts w:ascii="宋体"/>
          <w:bCs/>
          <w:color w:val="000000"/>
          <w:kern w:val="2"/>
          <w:sz w:val="24"/>
          <w:szCs w:val="24"/>
        </w:rPr>
      </w:pPr>
      <w:bookmarkStart w:id="16" w:name="_Toc291695244"/>
      <w:bookmarkStart w:id="17" w:name="_Toc291754351"/>
      <w:r>
        <w:rPr>
          <w:rFonts w:hint="eastAsia" w:ascii="宋体"/>
          <w:bCs/>
          <w:color w:val="000000"/>
          <w:kern w:val="2"/>
          <w:sz w:val="24"/>
          <w:szCs w:val="24"/>
        </w:rPr>
        <w:t>4.合格的比选申请人</w:t>
      </w:r>
      <w:bookmarkEnd w:id="16"/>
      <w:bookmarkEnd w:id="17"/>
    </w:p>
    <w:p w14:paraId="04923C1A">
      <w:pPr>
        <w:spacing w:line="440" w:lineRule="exact"/>
        <w:ind w:firstLine="480" w:firstLineChars="200"/>
        <w:rPr>
          <w:rFonts w:ascii="宋体"/>
          <w:color w:val="000000"/>
          <w:sz w:val="24"/>
        </w:rPr>
      </w:pPr>
      <w:r>
        <w:rPr>
          <w:rFonts w:hint="eastAsia" w:ascii="宋体"/>
          <w:color w:val="000000"/>
          <w:sz w:val="24"/>
        </w:rPr>
        <w:t>4.1法定代表人为同一个人的两个及两个以上法人，母公司、全资子公司及其控股公司，不得在同一项目中同时参加比选。</w:t>
      </w:r>
    </w:p>
    <w:p w14:paraId="34073FF0">
      <w:pPr>
        <w:spacing w:line="440" w:lineRule="exact"/>
        <w:ind w:firstLine="480" w:firstLineChars="200"/>
        <w:rPr>
          <w:rFonts w:ascii="宋体"/>
          <w:color w:val="000000"/>
          <w:sz w:val="24"/>
          <w:highlight w:val="none"/>
        </w:rPr>
      </w:pPr>
      <w:r>
        <w:rPr>
          <w:rFonts w:hint="eastAsia" w:ascii="宋体"/>
          <w:color w:val="000000"/>
          <w:sz w:val="24"/>
        </w:rPr>
        <w:t>4.2比选申请人资质等级要求详见比选须知前附</w:t>
      </w:r>
      <w:r>
        <w:rPr>
          <w:rFonts w:hint="eastAsia" w:ascii="宋体"/>
          <w:color w:val="000000"/>
          <w:sz w:val="24"/>
          <w:highlight w:val="none"/>
        </w:rPr>
        <w:t>表第8项。</w:t>
      </w:r>
    </w:p>
    <w:p w14:paraId="4D0B5636">
      <w:pPr>
        <w:spacing w:line="440" w:lineRule="exact"/>
        <w:ind w:firstLine="480" w:firstLineChars="200"/>
        <w:rPr>
          <w:rFonts w:ascii="宋体"/>
          <w:color w:val="000000"/>
          <w:sz w:val="24"/>
          <w:highlight w:val="none"/>
        </w:rPr>
      </w:pPr>
      <w:r>
        <w:rPr>
          <w:rFonts w:hint="eastAsia" w:ascii="宋体"/>
          <w:color w:val="000000"/>
          <w:sz w:val="24"/>
          <w:highlight w:val="none"/>
        </w:rPr>
        <w:t>4.3收到比选邀请书及比选文件的单位，方可参加比选。</w:t>
      </w:r>
    </w:p>
    <w:p w14:paraId="37B72E62">
      <w:pPr>
        <w:pStyle w:val="5"/>
        <w:widowControl w:val="0"/>
        <w:spacing w:before="0" w:after="0" w:line="500" w:lineRule="exact"/>
        <w:ind w:firstLine="482" w:firstLineChars="200"/>
        <w:jc w:val="both"/>
        <w:rPr>
          <w:rFonts w:ascii="宋体"/>
          <w:bCs/>
          <w:color w:val="000000"/>
          <w:kern w:val="2"/>
          <w:sz w:val="24"/>
          <w:szCs w:val="24"/>
          <w:highlight w:val="none"/>
        </w:rPr>
      </w:pPr>
      <w:bookmarkStart w:id="18" w:name="_Toc291754352"/>
      <w:bookmarkStart w:id="19" w:name="_Toc291695245"/>
      <w:r>
        <w:rPr>
          <w:rFonts w:hint="eastAsia" w:ascii="宋体"/>
          <w:bCs/>
          <w:color w:val="000000"/>
          <w:kern w:val="2"/>
          <w:sz w:val="24"/>
          <w:szCs w:val="24"/>
          <w:highlight w:val="none"/>
        </w:rPr>
        <w:t>5.踏勘现场和比选答疑会议</w:t>
      </w:r>
      <w:bookmarkEnd w:id="18"/>
      <w:bookmarkEnd w:id="19"/>
    </w:p>
    <w:p w14:paraId="377B0CA3">
      <w:pPr>
        <w:spacing w:line="440" w:lineRule="exact"/>
        <w:ind w:firstLine="480" w:firstLineChars="200"/>
        <w:rPr>
          <w:rFonts w:ascii="宋体"/>
          <w:color w:val="000000"/>
          <w:sz w:val="24"/>
        </w:rPr>
      </w:pPr>
      <w:r>
        <w:rPr>
          <w:rFonts w:hint="eastAsia" w:ascii="宋体"/>
          <w:color w:val="000000"/>
          <w:sz w:val="24"/>
          <w:highlight w:val="none"/>
        </w:rPr>
        <w:t>5.1比选申请人按本比选须知前附表第9项～第10项所</w:t>
      </w:r>
      <w:r>
        <w:rPr>
          <w:rFonts w:hint="eastAsia" w:ascii="宋体"/>
          <w:color w:val="000000"/>
          <w:sz w:val="24"/>
          <w:highlight w:val="none"/>
          <w:lang w:eastAsia="zh-CN"/>
        </w:rPr>
        <w:t>3</w:t>
      </w:r>
      <w:r>
        <w:rPr>
          <w:rFonts w:hint="eastAsia" w:ascii="宋体"/>
          <w:color w:val="000000"/>
          <w:sz w:val="24"/>
          <w:highlight w:val="none"/>
        </w:rPr>
        <w:t>述，对项目现场及周围环境进行踏勘，以便比选申请人获取有关编制比选响应文件和签署合同所</w:t>
      </w:r>
      <w:r>
        <w:rPr>
          <w:rFonts w:hint="eastAsia" w:ascii="宋体"/>
          <w:color w:val="000000"/>
          <w:sz w:val="24"/>
        </w:rPr>
        <w:t>涉及现场的资料。比选申请人承担踏勘现场所发生的费用。</w:t>
      </w:r>
    </w:p>
    <w:p w14:paraId="0CF44F2B">
      <w:pPr>
        <w:spacing w:line="440" w:lineRule="exact"/>
        <w:ind w:firstLine="480" w:firstLineChars="200"/>
        <w:rPr>
          <w:rFonts w:ascii="宋体"/>
          <w:color w:val="000000"/>
          <w:sz w:val="24"/>
        </w:rPr>
      </w:pPr>
      <w:r>
        <w:rPr>
          <w:rFonts w:hint="eastAsia" w:ascii="宋体"/>
          <w:color w:val="000000"/>
          <w:sz w:val="24"/>
        </w:rPr>
        <w:t>5.2 比选人向比选申请人提供的有关现场的数据和资料，是比选人现有的能被比选申请人利用的资料，比选人对比选申请人做出的任何推论、理解和结论均不负责任。</w:t>
      </w:r>
    </w:p>
    <w:p w14:paraId="6A212690">
      <w:pPr>
        <w:spacing w:line="440" w:lineRule="exact"/>
        <w:ind w:firstLine="480" w:firstLineChars="200"/>
        <w:rPr>
          <w:rFonts w:ascii="宋体"/>
          <w:color w:val="000000"/>
          <w:sz w:val="24"/>
        </w:rPr>
      </w:pPr>
      <w:r>
        <w:rPr>
          <w:rFonts w:hint="eastAsia" w:ascii="宋体"/>
          <w:color w:val="000000"/>
          <w:sz w:val="24"/>
        </w:rPr>
        <w:t>5.3 经比选人允许，比选申请人可为踏勘目的进入比选人的项目现场，但比选申请人不得因此使比选人承担有关的责任和蒙受损失。比选申请人应承担踏勘现场的责任和风险。</w:t>
      </w:r>
    </w:p>
    <w:p w14:paraId="624260EB">
      <w:pPr>
        <w:spacing w:line="440" w:lineRule="exact"/>
        <w:ind w:firstLine="480" w:firstLineChars="200"/>
        <w:rPr>
          <w:rFonts w:ascii="宋体"/>
          <w:color w:val="000000"/>
          <w:sz w:val="24"/>
          <w:highlight w:val="none"/>
        </w:rPr>
      </w:pPr>
      <w:r>
        <w:rPr>
          <w:rFonts w:hint="eastAsia" w:ascii="宋体"/>
          <w:color w:val="000000"/>
          <w:sz w:val="24"/>
        </w:rPr>
        <w:t>5.4 比选申请人提出的与比选有关的任何问题须以书面形式于本比选须知</w:t>
      </w:r>
      <w:r>
        <w:rPr>
          <w:rFonts w:hint="eastAsia" w:ascii="宋体"/>
          <w:color w:val="000000"/>
          <w:sz w:val="24"/>
          <w:highlight w:val="none"/>
        </w:rPr>
        <w:t>前附表第12项规定时间前送达比选须知前附表第12项规定的地点。</w:t>
      </w:r>
    </w:p>
    <w:p w14:paraId="69D111D1">
      <w:pPr>
        <w:spacing w:line="440" w:lineRule="exact"/>
        <w:ind w:firstLine="480" w:firstLineChars="200"/>
        <w:rPr>
          <w:rFonts w:ascii="宋体"/>
          <w:color w:val="000000"/>
          <w:sz w:val="24"/>
        </w:rPr>
      </w:pPr>
      <w:r>
        <w:rPr>
          <w:rFonts w:hint="eastAsia" w:ascii="宋体"/>
          <w:color w:val="000000"/>
          <w:sz w:val="24"/>
        </w:rPr>
        <w:t>5.5 比选答疑纪要包括所有问题的答复，纪要的副本以补充通知的形式尽快提供给所有获得比选方案的比选申请人。由于答疑而产生的对本须知第7.1款中所列比选方案内容的修改，由比选人按照本须知第9条的规定办理。</w:t>
      </w:r>
    </w:p>
    <w:p w14:paraId="3472AC90">
      <w:pPr>
        <w:pStyle w:val="5"/>
        <w:widowControl w:val="0"/>
        <w:spacing w:before="0" w:after="0" w:line="500" w:lineRule="exact"/>
        <w:ind w:firstLine="482" w:firstLineChars="200"/>
        <w:jc w:val="both"/>
        <w:rPr>
          <w:rFonts w:ascii="宋体"/>
          <w:bCs/>
          <w:color w:val="000000"/>
          <w:kern w:val="2"/>
          <w:sz w:val="24"/>
          <w:szCs w:val="24"/>
        </w:rPr>
      </w:pPr>
      <w:bookmarkStart w:id="20" w:name="_Toc291695246"/>
      <w:bookmarkStart w:id="21" w:name="_Toc291754353"/>
      <w:r>
        <w:rPr>
          <w:rFonts w:hint="eastAsia" w:ascii="宋体"/>
          <w:bCs/>
          <w:color w:val="000000"/>
          <w:kern w:val="2"/>
          <w:sz w:val="24"/>
          <w:szCs w:val="24"/>
        </w:rPr>
        <w:t>6.比选费用及其它</w:t>
      </w:r>
      <w:bookmarkEnd w:id="20"/>
      <w:bookmarkEnd w:id="21"/>
    </w:p>
    <w:p w14:paraId="3ACE679B">
      <w:pPr>
        <w:spacing w:line="440" w:lineRule="exact"/>
        <w:ind w:firstLine="480" w:firstLineChars="200"/>
        <w:rPr>
          <w:rFonts w:ascii="宋体"/>
          <w:color w:val="000000"/>
          <w:sz w:val="24"/>
        </w:rPr>
      </w:pPr>
      <w:r>
        <w:rPr>
          <w:rFonts w:hint="eastAsia" w:ascii="宋体"/>
          <w:color w:val="000000"/>
          <w:sz w:val="24"/>
        </w:rPr>
        <w:t>6.1 比选申请人应承担其参加本比选活动自身所发生的费用。</w:t>
      </w:r>
    </w:p>
    <w:p w14:paraId="66442C0E">
      <w:pPr>
        <w:spacing w:line="440" w:lineRule="exact"/>
        <w:ind w:firstLine="480" w:firstLineChars="200"/>
        <w:rPr>
          <w:rFonts w:ascii="宋体"/>
          <w:color w:val="000000"/>
          <w:sz w:val="24"/>
        </w:rPr>
      </w:pPr>
      <w:r>
        <w:rPr>
          <w:rFonts w:hint="eastAsia" w:ascii="宋体"/>
          <w:color w:val="000000"/>
          <w:sz w:val="24"/>
        </w:rPr>
        <w:t>6.2 不论比选结果如何，比选申请人的比选响应文件均不退回。</w:t>
      </w:r>
    </w:p>
    <w:p w14:paraId="3556CF42">
      <w:pPr>
        <w:spacing w:line="440" w:lineRule="exact"/>
        <w:ind w:firstLine="480" w:firstLineChars="200"/>
        <w:rPr>
          <w:rFonts w:ascii="宋体"/>
          <w:color w:val="000000"/>
          <w:sz w:val="24"/>
        </w:rPr>
      </w:pPr>
      <w:r>
        <w:rPr>
          <w:rFonts w:hint="eastAsia" w:ascii="宋体"/>
          <w:color w:val="000000"/>
          <w:sz w:val="24"/>
        </w:rPr>
        <w:t>6.3 比选申请人所登记的联系人应为法定代表人或授权代理人，通讯方式应保证畅通，在整个比选及评比过程中被授权人要求具有唯一性，如因联系不上而导致的一切后果比选人及代理机构不承担任何责任。</w:t>
      </w:r>
    </w:p>
    <w:p w14:paraId="4CA58BFD">
      <w:pPr>
        <w:spacing w:line="440" w:lineRule="exact"/>
        <w:ind w:firstLine="480" w:firstLineChars="200"/>
        <w:rPr>
          <w:rFonts w:ascii="宋体"/>
          <w:color w:val="000000"/>
          <w:sz w:val="24"/>
        </w:rPr>
      </w:pPr>
      <w:r>
        <w:rPr>
          <w:rFonts w:hint="eastAsia" w:ascii="宋体"/>
          <w:color w:val="000000"/>
          <w:sz w:val="24"/>
        </w:rPr>
        <w:t>6.4比选双方应分别为双方在比选文件和比选响应文件中涉及的商业和技术等秘密保密，违者应对由此造成的后果承担责任。</w:t>
      </w:r>
    </w:p>
    <w:p w14:paraId="3EF1A4DE">
      <w:pPr>
        <w:spacing w:line="440" w:lineRule="exact"/>
        <w:ind w:firstLine="480" w:firstLineChars="200"/>
        <w:rPr>
          <w:rFonts w:ascii="宋体"/>
          <w:color w:val="000000"/>
          <w:sz w:val="24"/>
        </w:rPr>
      </w:pPr>
      <w:r>
        <w:rPr>
          <w:rFonts w:hint="eastAsia" w:ascii="宋体"/>
          <w:color w:val="000000"/>
          <w:sz w:val="24"/>
        </w:rPr>
        <w:t>6.5 本比选文件的解释权归比选人。</w:t>
      </w:r>
    </w:p>
    <w:p w14:paraId="169DCEBF">
      <w:pPr>
        <w:pStyle w:val="3"/>
        <w:keepLines w:val="0"/>
        <w:widowControl w:val="0"/>
        <w:spacing w:before="192" w:beforeLines="80" w:after="192" w:afterLines="80" w:line="500" w:lineRule="exact"/>
        <w:rPr>
          <w:rFonts w:ascii="宋体" w:eastAsia="宋体"/>
          <w:color w:val="000000"/>
          <w:kern w:val="2"/>
          <w:szCs w:val="24"/>
        </w:rPr>
      </w:pPr>
      <w:bookmarkStart w:id="22" w:name="_Toc291695247"/>
      <w:bookmarkStart w:id="23" w:name="_Toc291754354"/>
      <w:r>
        <w:rPr>
          <w:rFonts w:hint="eastAsia" w:ascii="宋体" w:eastAsia="宋体"/>
          <w:color w:val="000000"/>
          <w:kern w:val="2"/>
          <w:szCs w:val="24"/>
        </w:rPr>
        <w:t>二、比选文件</w:t>
      </w:r>
      <w:bookmarkEnd w:id="22"/>
      <w:bookmarkEnd w:id="23"/>
    </w:p>
    <w:p w14:paraId="3B6CC666">
      <w:pPr>
        <w:pStyle w:val="5"/>
        <w:widowControl w:val="0"/>
        <w:spacing w:before="0" w:after="0" w:line="500" w:lineRule="exact"/>
        <w:ind w:firstLine="482" w:firstLineChars="200"/>
        <w:jc w:val="both"/>
        <w:rPr>
          <w:rFonts w:ascii="宋体"/>
          <w:bCs/>
          <w:color w:val="000000"/>
          <w:kern w:val="2"/>
          <w:sz w:val="24"/>
          <w:szCs w:val="24"/>
        </w:rPr>
      </w:pPr>
      <w:bookmarkStart w:id="24" w:name="_Toc291754355"/>
      <w:bookmarkStart w:id="25" w:name="_Toc291695248"/>
      <w:r>
        <w:rPr>
          <w:rFonts w:hint="eastAsia" w:ascii="宋体"/>
          <w:bCs/>
          <w:color w:val="000000"/>
          <w:kern w:val="2"/>
          <w:sz w:val="24"/>
          <w:szCs w:val="24"/>
        </w:rPr>
        <w:t>7.比选文件的组成</w:t>
      </w:r>
      <w:bookmarkEnd w:id="24"/>
      <w:bookmarkEnd w:id="25"/>
    </w:p>
    <w:p w14:paraId="73671860">
      <w:pPr>
        <w:spacing w:line="440" w:lineRule="exact"/>
        <w:ind w:firstLine="480" w:firstLineChars="200"/>
        <w:rPr>
          <w:rFonts w:ascii="宋体"/>
          <w:color w:val="000000"/>
          <w:sz w:val="24"/>
        </w:rPr>
      </w:pPr>
      <w:r>
        <w:rPr>
          <w:rFonts w:hint="eastAsia" w:ascii="宋体"/>
          <w:color w:val="000000"/>
          <w:sz w:val="24"/>
        </w:rPr>
        <w:t>7.1 比选方案包括下列内容：</w:t>
      </w:r>
    </w:p>
    <w:p w14:paraId="0E94CB1E">
      <w:pPr>
        <w:pStyle w:val="25"/>
        <w:widowControl/>
        <w:numPr>
          <w:ilvl w:val="0"/>
          <w:numId w:val="5"/>
        </w:numPr>
        <w:spacing w:line="440" w:lineRule="exact"/>
        <w:rPr>
          <w:rFonts w:ascii="宋体"/>
          <w:color w:val="000000"/>
          <w:kern w:val="0"/>
        </w:rPr>
      </w:pPr>
      <w:r>
        <w:rPr>
          <w:rFonts w:hint="eastAsia" w:ascii="宋体"/>
          <w:color w:val="000000"/>
          <w:kern w:val="0"/>
        </w:rPr>
        <w:t>比选邀请书</w:t>
      </w:r>
    </w:p>
    <w:p w14:paraId="69326C4E">
      <w:pPr>
        <w:pStyle w:val="25"/>
        <w:widowControl/>
        <w:numPr>
          <w:ilvl w:val="0"/>
          <w:numId w:val="5"/>
        </w:numPr>
        <w:spacing w:line="440" w:lineRule="exact"/>
        <w:rPr>
          <w:rFonts w:ascii="宋体"/>
          <w:color w:val="000000"/>
          <w:kern w:val="0"/>
        </w:rPr>
      </w:pPr>
      <w:r>
        <w:rPr>
          <w:rFonts w:hint="eastAsia" w:ascii="宋体"/>
          <w:color w:val="000000"/>
          <w:kern w:val="0"/>
        </w:rPr>
        <w:t>比选须知前附表</w:t>
      </w:r>
      <w:bookmarkStart w:id="26" w:name="_Hlt83702797"/>
      <w:bookmarkEnd w:id="26"/>
    </w:p>
    <w:p w14:paraId="0A3E8DE4">
      <w:pPr>
        <w:pStyle w:val="25"/>
        <w:widowControl/>
        <w:numPr>
          <w:ilvl w:val="0"/>
          <w:numId w:val="5"/>
        </w:numPr>
        <w:spacing w:line="440" w:lineRule="exact"/>
        <w:rPr>
          <w:rFonts w:ascii="宋体"/>
          <w:color w:val="000000"/>
          <w:kern w:val="0"/>
        </w:rPr>
      </w:pPr>
      <w:r>
        <w:rPr>
          <w:rFonts w:hint="eastAsia" w:ascii="宋体"/>
          <w:color w:val="000000"/>
          <w:kern w:val="0"/>
        </w:rPr>
        <w:t>比选须知</w:t>
      </w:r>
    </w:p>
    <w:p w14:paraId="0AA66026">
      <w:pPr>
        <w:numPr>
          <w:ilvl w:val="0"/>
          <w:numId w:val="5"/>
        </w:numPr>
        <w:spacing w:line="440" w:lineRule="exact"/>
        <w:rPr>
          <w:rFonts w:ascii="宋体"/>
          <w:color w:val="000000"/>
          <w:sz w:val="24"/>
        </w:rPr>
      </w:pPr>
      <w:r>
        <w:rPr>
          <w:rFonts w:hint="eastAsia" w:ascii="宋体"/>
          <w:color w:val="000000"/>
          <w:sz w:val="24"/>
        </w:rPr>
        <w:t>比选响应文件格式</w:t>
      </w:r>
    </w:p>
    <w:p w14:paraId="07833472">
      <w:pPr>
        <w:numPr>
          <w:ilvl w:val="0"/>
          <w:numId w:val="5"/>
        </w:numPr>
        <w:spacing w:line="440" w:lineRule="exact"/>
        <w:rPr>
          <w:rFonts w:ascii="宋体"/>
          <w:color w:val="000000"/>
          <w:sz w:val="24"/>
        </w:rPr>
      </w:pPr>
      <w:r>
        <w:rPr>
          <w:rFonts w:hint="eastAsia" w:ascii="宋体"/>
          <w:color w:val="000000"/>
          <w:sz w:val="24"/>
        </w:rPr>
        <w:t>评比细则</w:t>
      </w:r>
    </w:p>
    <w:p w14:paraId="163D2C66">
      <w:pPr>
        <w:spacing w:line="440" w:lineRule="exact"/>
        <w:ind w:firstLine="480" w:firstLineChars="200"/>
        <w:rPr>
          <w:rFonts w:ascii="宋体"/>
          <w:color w:val="000000"/>
          <w:sz w:val="24"/>
        </w:rPr>
      </w:pPr>
      <w:r>
        <w:rPr>
          <w:rFonts w:hint="eastAsia" w:ascii="宋体"/>
          <w:color w:val="000000"/>
          <w:sz w:val="24"/>
        </w:rPr>
        <w:t>7.2 除7.1内容外，比选人在提交比选响应文件截止时间1天前，以书面形式发出的对比选文件的澄清或修改内容，均为比选文件的组成部分，对比选人和比选申请人起约束作用。</w:t>
      </w:r>
    </w:p>
    <w:p w14:paraId="62D20D65">
      <w:pPr>
        <w:spacing w:line="440" w:lineRule="exact"/>
        <w:ind w:firstLine="480" w:firstLineChars="200"/>
        <w:rPr>
          <w:rFonts w:ascii="宋体"/>
          <w:color w:val="000000"/>
          <w:sz w:val="24"/>
        </w:rPr>
      </w:pPr>
      <w:r>
        <w:rPr>
          <w:rFonts w:hint="eastAsia" w:ascii="宋体"/>
          <w:color w:val="000000"/>
          <w:sz w:val="24"/>
        </w:rPr>
        <w:t>7.3 比选申请人获取比选文件后，应仔细检查比选文件的所有内容，如有残缺等问题应在获得比选文件1日内向比选人提出，否则，由此引起的损失由比选申请人自己承担。比选申请人同时应认真审阅比选方案中所有的事项、格式、条款和规范要求等，若比选申请人的比选响应文件没有按比选文件要求提交全部资料，或比选响应文件没有对比选文件做出实质性响应，其风险由比选申请人自行承担，并根据有关条款规定，该比选响应有可能被拒绝。</w:t>
      </w:r>
    </w:p>
    <w:p w14:paraId="756FC215">
      <w:pPr>
        <w:pStyle w:val="5"/>
        <w:widowControl w:val="0"/>
        <w:spacing w:before="0" w:after="0" w:line="500" w:lineRule="exact"/>
        <w:ind w:firstLine="482" w:firstLineChars="200"/>
        <w:jc w:val="both"/>
        <w:rPr>
          <w:rFonts w:ascii="宋体"/>
          <w:bCs/>
          <w:color w:val="000000"/>
          <w:kern w:val="2"/>
          <w:sz w:val="24"/>
          <w:szCs w:val="24"/>
        </w:rPr>
      </w:pPr>
      <w:bookmarkStart w:id="27" w:name="_Toc291695249"/>
      <w:bookmarkStart w:id="28" w:name="_Toc291754356"/>
      <w:r>
        <w:rPr>
          <w:rFonts w:hint="eastAsia" w:ascii="宋体"/>
          <w:bCs/>
          <w:color w:val="000000"/>
          <w:kern w:val="2"/>
          <w:sz w:val="24"/>
          <w:szCs w:val="24"/>
        </w:rPr>
        <w:t>8.比选</w:t>
      </w:r>
      <w:r>
        <w:rPr>
          <w:rFonts w:hint="eastAsia" w:ascii="宋体"/>
          <w:color w:val="000000"/>
          <w:sz w:val="24"/>
        </w:rPr>
        <w:t>文件</w:t>
      </w:r>
      <w:r>
        <w:rPr>
          <w:rFonts w:hint="eastAsia" w:ascii="宋体"/>
          <w:bCs/>
          <w:color w:val="000000"/>
          <w:kern w:val="2"/>
          <w:sz w:val="24"/>
          <w:szCs w:val="24"/>
        </w:rPr>
        <w:t>的澄清</w:t>
      </w:r>
      <w:bookmarkEnd w:id="27"/>
      <w:bookmarkEnd w:id="28"/>
    </w:p>
    <w:p w14:paraId="7A25F22F">
      <w:pPr>
        <w:spacing w:line="440" w:lineRule="exact"/>
        <w:ind w:firstLine="480" w:firstLineChars="200"/>
        <w:rPr>
          <w:rFonts w:ascii="宋体"/>
          <w:color w:val="000000"/>
          <w:sz w:val="24"/>
        </w:rPr>
      </w:pPr>
      <w:r>
        <w:rPr>
          <w:rFonts w:hint="eastAsia" w:ascii="宋体"/>
          <w:color w:val="000000"/>
          <w:sz w:val="24"/>
        </w:rPr>
        <w:t>8.1比选申请人若对比选文件有任何疑问，应以书面形式向比选人提出澄清要求。无论是比选人根据需要主动对比选文件进行必要的澄清，或是根据比选申请人的要求对比选文件做出澄清，比选人都将于比选截止时间1日前以书面形式予以澄清，同时将书面澄清文件向所有比选申请人发送。比选申请人在收到该澄清文件后应于当日内，以书面形式给予确认，该澄清作为比选文件的组成部分，具有约束作用。</w:t>
      </w:r>
    </w:p>
    <w:p w14:paraId="04A34B1B">
      <w:pPr>
        <w:pStyle w:val="5"/>
        <w:widowControl w:val="0"/>
        <w:spacing w:before="0" w:after="0" w:line="500" w:lineRule="exact"/>
        <w:ind w:firstLine="482" w:firstLineChars="200"/>
        <w:jc w:val="both"/>
        <w:rPr>
          <w:rFonts w:ascii="宋体"/>
          <w:bCs/>
          <w:color w:val="000000"/>
          <w:kern w:val="2"/>
          <w:sz w:val="24"/>
          <w:szCs w:val="24"/>
        </w:rPr>
      </w:pPr>
      <w:bookmarkStart w:id="29" w:name="_Toc291695250"/>
      <w:bookmarkStart w:id="30" w:name="_Toc291754357"/>
      <w:r>
        <w:rPr>
          <w:rFonts w:hint="eastAsia" w:ascii="宋体"/>
          <w:bCs/>
          <w:color w:val="000000"/>
          <w:kern w:val="2"/>
          <w:sz w:val="24"/>
          <w:szCs w:val="24"/>
        </w:rPr>
        <w:t>9.比选文件的修改</w:t>
      </w:r>
      <w:bookmarkEnd w:id="29"/>
      <w:bookmarkEnd w:id="30"/>
    </w:p>
    <w:p w14:paraId="5B50D75A">
      <w:pPr>
        <w:spacing w:line="440" w:lineRule="exact"/>
        <w:ind w:firstLine="480" w:firstLineChars="200"/>
        <w:rPr>
          <w:rFonts w:ascii="宋体"/>
          <w:color w:val="000000"/>
          <w:sz w:val="24"/>
        </w:rPr>
      </w:pPr>
      <w:r>
        <w:rPr>
          <w:rFonts w:hint="eastAsia" w:ascii="宋体"/>
          <w:color w:val="000000"/>
          <w:sz w:val="24"/>
        </w:rPr>
        <w:t>9.1 比选文件发出后，在提交比选响应文件截止时间1日前，比选人可对比选文件进行必要的澄清或修改。</w:t>
      </w:r>
    </w:p>
    <w:p w14:paraId="501734DA">
      <w:pPr>
        <w:spacing w:line="440" w:lineRule="exact"/>
        <w:ind w:firstLine="480" w:firstLineChars="200"/>
        <w:rPr>
          <w:rFonts w:ascii="宋体"/>
          <w:color w:val="000000"/>
          <w:sz w:val="24"/>
        </w:rPr>
      </w:pPr>
      <w:r>
        <w:rPr>
          <w:rFonts w:hint="eastAsia" w:ascii="宋体"/>
          <w:color w:val="000000"/>
          <w:sz w:val="24"/>
        </w:rPr>
        <w:t>9.2 比选文件的修改将以书面形式发送给所有受邀比选申请人，受邀比选申请人应于收到该修改文件后当日内以书面形式给予确认。比选文件的修改内容作为比选文件的组成部分，具有约束作用。</w:t>
      </w:r>
    </w:p>
    <w:p w14:paraId="40BDBD42">
      <w:pPr>
        <w:spacing w:line="440" w:lineRule="exact"/>
        <w:ind w:firstLine="480" w:firstLineChars="200"/>
        <w:rPr>
          <w:rFonts w:hint="eastAsia" w:ascii="宋体" w:hAnsi="Times New Roman" w:cs="Times New Roman"/>
          <w:color w:val="000000"/>
          <w:sz w:val="24"/>
          <w:lang w:val="en-US" w:eastAsia="zh-CN"/>
        </w:rPr>
      </w:pPr>
      <w:r>
        <w:rPr>
          <w:rFonts w:hint="eastAsia" w:ascii="宋体"/>
          <w:color w:val="000000"/>
          <w:sz w:val="24"/>
        </w:rPr>
        <w:t>9.3比选文件的澄清、修改、补充</w:t>
      </w:r>
      <w:r>
        <w:rPr>
          <w:rFonts w:hint="eastAsia" w:ascii="宋体"/>
          <w:color w:val="000000"/>
          <w:sz w:val="24"/>
          <w:lang w:eastAsia="zh-CN"/>
        </w:rPr>
        <w:t xml:space="preserve"> </w:t>
      </w:r>
      <w:r>
        <w:rPr>
          <w:rFonts w:hint="eastAsia" w:ascii="宋体" w:hAnsi="Times New Roman" w:cs="Times New Roman"/>
          <w:color w:val="000000"/>
          <w:sz w:val="24"/>
        </w:rPr>
        <w:t xml:space="preserve"> </w:t>
      </w:r>
      <w:r>
        <w:rPr>
          <w:rFonts w:hint="eastAsia" w:ascii="宋体" w:hAnsi="Times New Roman" w:cs="Times New Roman"/>
          <w:color w:val="000000"/>
          <w:sz w:val="24"/>
          <w:lang w:val="en-US" w:eastAsia="zh-CN"/>
        </w:rPr>
        <w:t>1.完成草种筛选：对不同施肥模式下不同盐渍化风险果园进行土壤基础理化指标</w:t>
      </w:r>
      <w:r>
        <w:rPr>
          <w:rFonts w:hint="eastAsia" w:ascii="宋体" w:cs="Times New Roman"/>
          <w:color w:val="000000"/>
          <w:sz w:val="24"/>
          <w:lang w:val="en-US" w:eastAsia="zh-CN"/>
        </w:rPr>
        <w:t>检测</w:t>
      </w:r>
      <w:r>
        <w:rPr>
          <w:rFonts w:hint="eastAsia" w:ascii="宋体" w:hAnsi="Times New Roman" w:cs="Times New Roman"/>
          <w:color w:val="000000"/>
          <w:sz w:val="24"/>
          <w:lang w:val="en-US" w:eastAsia="zh-CN"/>
        </w:rPr>
        <w:t>、草种生物量及碳氮含量等指标监测</w:t>
      </w:r>
      <w:r>
        <w:rPr>
          <w:rFonts w:hint="eastAsia" w:ascii="宋体" w:cs="Times New Roman"/>
          <w:color w:val="000000"/>
          <w:sz w:val="24"/>
          <w:lang w:val="en-US" w:eastAsia="zh-CN"/>
        </w:rPr>
        <w:t>检测</w:t>
      </w:r>
      <w:r>
        <w:rPr>
          <w:rFonts w:hint="eastAsia" w:ascii="宋体" w:hAnsi="Times New Roman" w:cs="Times New Roman"/>
          <w:color w:val="000000"/>
          <w:sz w:val="24"/>
          <w:lang w:val="en-US" w:eastAsia="zh-CN"/>
        </w:rPr>
        <w:t>，综合分析，筛选出不同盐渍化风险土壤园区适宜草种和种植密度；2.对果园修剪废弃物堆肥化处理后的指标进行检测，满足畜禽粪便堆肥技术规范（NY/T3442-2019）限量指标要求，同时测定堆肥氯离子质量分数、全盐含量，用于评价堆肥产物盐分情况；3.对筛选确定的处理进行土壤、果品测试</w:t>
      </w:r>
      <w:r>
        <w:rPr>
          <w:rFonts w:hint="eastAsia" w:ascii="宋体" w:cs="Times New Roman"/>
          <w:color w:val="000000"/>
          <w:sz w:val="24"/>
          <w:lang w:val="en-US" w:eastAsia="zh-CN"/>
        </w:rPr>
        <w:t>，</w:t>
      </w:r>
      <w:r>
        <w:rPr>
          <w:rFonts w:hint="eastAsia" w:ascii="宋体" w:hAnsi="Times New Roman" w:cs="Times New Roman"/>
          <w:color w:val="000000"/>
          <w:sz w:val="24"/>
          <w:lang w:val="en-US" w:eastAsia="zh-CN"/>
        </w:rPr>
        <w:t>植物多样性、草种生物量</w:t>
      </w:r>
      <w:r>
        <w:rPr>
          <w:rFonts w:hint="eastAsia" w:ascii="宋体" w:cs="Times New Roman"/>
          <w:color w:val="000000"/>
          <w:sz w:val="24"/>
          <w:lang w:val="en-US" w:eastAsia="zh-CN"/>
        </w:rPr>
        <w:t>监测</w:t>
      </w:r>
      <w:r>
        <w:rPr>
          <w:rFonts w:hint="eastAsia" w:ascii="宋体" w:hAnsi="Times New Roman" w:cs="Times New Roman"/>
          <w:color w:val="000000"/>
          <w:sz w:val="24"/>
          <w:lang w:val="en-US" w:eastAsia="zh-CN"/>
        </w:rPr>
        <w:t>结果综合分析并得出</w:t>
      </w:r>
      <w:r>
        <w:rPr>
          <w:rFonts w:hint="eastAsia"/>
          <w:sz w:val="24"/>
          <w:lang w:val="en-US" w:eastAsia="zh-CN"/>
        </w:rPr>
        <w:t>适宜不同施肥模式和不同盐渍化风险等级梨园适宜草种及匹配的优化施肥方案，并撰写大兴区梨园生草技术研究与应用评价报告和指导技术手册。</w:t>
      </w:r>
    </w:p>
    <w:p w14:paraId="65A34840">
      <w:pPr>
        <w:spacing w:line="440" w:lineRule="exact"/>
        <w:ind w:firstLine="480" w:firstLineChars="200"/>
        <w:rPr>
          <w:rFonts w:ascii="宋体"/>
          <w:color w:val="000000"/>
          <w:sz w:val="24"/>
        </w:rPr>
      </w:pPr>
      <w:r>
        <w:rPr>
          <w:rFonts w:hint="eastAsia" w:ascii="宋体"/>
          <w:color w:val="000000"/>
          <w:sz w:val="24"/>
        </w:rPr>
        <w:t>等内容均以书面形式明确的内容为准。当比选文件、比选文件的澄清、修改、补充等在同一内容的表述上不一致时，以最后发出的书面文件为准。</w:t>
      </w:r>
    </w:p>
    <w:p w14:paraId="271F91E8">
      <w:pPr>
        <w:spacing w:line="440" w:lineRule="exact"/>
        <w:ind w:firstLine="480" w:firstLineChars="200"/>
        <w:rPr>
          <w:rFonts w:ascii="宋体"/>
          <w:color w:val="000000"/>
          <w:sz w:val="24"/>
        </w:rPr>
      </w:pPr>
      <w:r>
        <w:rPr>
          <w:rFonts w:hint="eastAsia" w:ascii="宋体"/>
          <w:color w:val="000000"/>
          <w:sz w:val="24"/>
        </w:rPr>
        <w:t>9.4为使比选申请人在编制比选响应文件时有充分的时间对比选文件的澄清、修改、补充等内容进行研究，比选人将酌情延长提交比选响应文件的截止时间，具体时间将在比选文件的修改、补充通知中予以明确。</w:t>
      </w:r>
    </w:p>
    <w:p w14:paraId="2B35812A">
      <w:pPr>
        <w:pStyle w:val="5"/>
        <w:widowControl w:val="0"/>
        <w:spacing w:before="0" w:after="0" w:line="500" w:lineRule="exact"/>
        <w:ind w:firstLine="482" w:firstLineChars="200"/>
        <w:jc w:val="both"/>
        <w:rPr>
          <w:rFonts w:ascii="宋体"/>
          <w:bCs/>
          <w:color w:val="000000"/>
          <w:kern w:val="2"/>
          <w:sz w:val="24"/>
          <w:szCs w:val="24"/>
        </w:rPr>
      </w:pPr>
      <w:bookmarkStart w:id="31" w:name="_Toc291754358"/>
      <w:bookmarkStart w:id="32" w:name="_Toc291695251"/>
      <w:r>
        <w:rPr>
          <w:rFonts w:hint="eastAsia" w:ascii="宋体"/>
          <w:bCs/>
          <w:color w:val="000000"/>
          <w:kern w:val="2"/>
          <w:sz w:val="24"/>
          <w:szCs w:val="24"/>
        </w:rPr>
        <w:t>10．比选报价</w:t>
      </w:r>
      <w:bookmarkEnd w:id="31"/>
      <w:bookmarkEnd w:id="32"/>
    </w:p>
    <w:p w14:paraId="20096B20">
      <w:pPr>
        <w:tabs>
          <w:tab w:val="left" w:pos="3240"/>
          <w:tab w:val="left" w:pos="4116"/>
        </w:tabs>
        <w:spacing w:line="360" w:lineRule="auto"/>
        <w:ind w:firstLine="480" w:firstLineChars="200"/>
        <w:rPr>
          <w:rFonts w:ascii="宋体" w:cs="Arial"/>
          <w:color w:val="000000"/>
          <w:sz w:val="24"/>
        </w:rPr>
      </w:pPr>
      <w:r>
        <w:rPr>
          <w:rFonts w:hint="eastAsia" w:ascii="宋体"/>
          <w:color w:val="000000"/>
          <w:sz w:val="24"/>
        </w:rPr>
        <w:t xml:space="preserve">10.1 </w:t>
      </w:r>
      <w:r>
        <w:rPr>
          <w:rFonts w:hint="eastAsia" w:ascii="宋体" w:cs="Tahoma"/>
          <w:color w:val="000000"/>
          <w:kern w:val="0"/>
          <w:sz w:val="24"/>
        </w:rPr>
        <w:t>由参选人依据</w:t>
      </w:r>
      <w:r>
        <w:rPr>
          <w:rFonts w:hint="eastAsia" w:ascii="宋体"/>
          <w:color w:val="000000"/>
          <w:sz w:val="24"/>
        </w:rPr>
        <w:t>比选文件、</w:t>
      </w:r>
      <w:r>
        <w:rPr>
          <w:rFonts w:hint="eastAsia" w:ascii="宋体" w:cs="Arial"/>
          <w:color w:val="000000"/>
          <w:sz w:val="24"/>
        </w:rPr>
        <w:t>现场的实际情况及相关资料，结合自身技术和管理水平，充分考虑市场、原材料价格波动风险等因素进行报价。</w:t>
      </w:r>
    </w:p>
    <w:p w14:paraId="568FAD60">
      <w:pPr>
        <w:tabs>
          <w:tab w:val="left" w:pos="3240"/>
          <w:tab w:val="left" w:pos="4116"/>
        </w:tabs>
        <w:spacing w:line="360" w:lineRule="auto"/>
        <w:ind w:firstLine="480" w:firstLineChars="200"/>
        <w:rPr>
          <w:rFonts w:ascii="宋体" w:cs="Arial"/>
          <w:color w:val="000000"/>
          <w:sz w:val="24"/>
        </w:rPr>
      </w:pPr>
      <w:r>
        <w:rPr>
          <w:rFonts w:hint="eastAsia" w:ascii="宋体" w:cs="Arial"/>
          <w:color w:val="000000"/>
          <w:sz w:val="24"/>
        </w:rPr>
        <w:t>10.2 只允许有一个报价，不得有选择的报价。</w:t>
      </w:r>
    </w:p>
    <w:p w14:paraId="0141AA60">
      <w:pPr>
        <w:pStyle w:val="3"/>
        <w:keepLines w:val="0"/>
        <w:widowControl w:val="0"/>
        <w:spacing w:before="192" w:beforeLines="80" w:after="192" w:afterLines="80" w:line="500" w:lineRule="exact"/>
        <w:rPr>
          <w:rFonts w:ascii="宋体" w:eastAsia="宋体"/>
          <w:color w:val="000000"/>
          <w:kern w:val="2"/>
          <w:szCs w:val="24"/>
        </w:rPr>
      </w:pPr>
      <w:bookmarkStart w:id="33" w:name="_Hlt393289477"/>
      <w:bookmarkEnd w:id="33"/>
      <w:bookmarkStart w:id="34" w:name="_Toc72240826"/>
      <w:bookmarkStart w:id="35" w:name="_Toc83635597"/>
      <w:bookmarkStart w:id="36" w:name="_Toc291695252"/>
      <w:bookmarkStart w:id="37" w:name="_Toc291754359"/>
      <w:r>
        <w:rPr>
          <w:rFonts w:hint="eastAsia" w:ascii="宋体" w:eastAsia="宋体"/>
          <w:color w:val="000000"/>
          <w:kern w:val="2"/>
          <w:szCs w:val="24"/>
        </w:rPr>
        <w:t>三、比选响应文件的编制</w:t>
      </w:r>
      <w:bookmarkEnd w:id="34"/>
      <w:bookmarkEnd w:id="35"/>
      <w:bookmarkEnd w:id="36"/>
      <w:bookmarkEnd w:id="37"/>
    </w:p>
    <w:p w14:paraId="300304AF">
      <w:pPr>
        <w:pStyle w:val="5"/>
        <w:widowControl w:val="0"/>
        <w:spacing w:before="0" w:after="0" w:line="500" w:lineRule="exact"/>
        <w:ind w:firstLine="482" w:firstLineChars="200"/>
        <w:jc w:val="both"/>
        <w:rPr>
          <w:rFonts w:ascii="宋体"/>
          <w:bCs/>
          <w:color w:val="000000"/>
          <w:kern w:val="2"/>
          <w:sz w:val="24"/>
          <w:szCs w:val="24"/>
        </w:rPr>
      </w:pPr>
      <w:bookmarkStart w:id="38" w:name="_Toc291754360"/>
      <w:bookmarkStart w:id="39" w:name="_Toc291695253"/>
      <w:r>
        <w:rPr>
          <w:rFonts w:hint="eastAsia" w:ascii="宋体"/>
          <w:bCs/>
          <w:color w:val="000000"/>
          <w:kern w:val="2"/>
          <w:sz w:val="24"/>
          <w:szCs w:val="24"/>
        </w:rPr>
        <w:t>11.比选</w:t>
      </w:r>
      <w:r>
        <w:rPr>
          <w:rFonts w:hint="eastAsia" w:ascii="宋体"/>
          <w:color w:val="000000"/>
          <w:sz w:val="24"/>
        </w:rPr>
        <w:t>响应</w:t>
      </w:r>
      <w:r>
        <w:rPr>
          <w:rFonts w:hint="eastAsia" w:ascii="宋体"/>
          <w:bCs/>
          <w:color w:val="000000"/>
          <w:kern w:val="2"/>
          <w:sz w:val="24"/>
          <w:szCs w:val="24"/>
        </w:rPr>
        <w:t>文件的语言及度量衡单位</w:t>
      </w:r>
      <w:bookmarkEnd w:id="38"/>
      <w:bookmarkEnd w:id="39"/>
    </w:p>
    <w:p w14:paraId="505BE4C2">
      <w:pPr>
        <w:spacing w:line="440" w:lineRule="exact"/>
        <w:ind w:firstLine="480" w:firstLineChars="200"/>
        <w:rPr>
          <w:rFonts w:ascii="宋体"/>
          <w:bCs/>
          <w:color w:val="000000"/>
          <w:sz w:val="24"/>
        </w:rPr>
      </w:pPr>
      <w:r>
        <w:rPr>
          <w:rFonts w:hint="eastAsia" w:ascii="宋体"/>
          <w:bCs/>
          <w:color w:val="000000"/>
          <w:sz w:val="24"/>
        </w:rPr>
        <w:t>11.1比选</w:t>
      </w:r>
      <w:r>
        <w:rPr>
          <w:rFonts w:hint="eastAsia" w:ascii="宋体"/>
          <w:color w:val="000000"/>
          <w:sz w:val="24"/>
        </w:rPr>
        <w:t>响应</w:t>
      </w:r>
      <w:r>
        <w:rPr>
          <w:rFonts w:hint="eastAsia" w:ascii="宋体"/>
          <w:bCs/>
          <w:color w:val="000000"/>
          <w:sz w:val="24"/>
        </w:rPr>
        <w:t>文件和与比选有关的所有文件均应使用汉语语言文字。</w:t>
      </w:r>
    </w:p>
    <w:p w14:paraId="50A72DF0">
      <w:pPr>
        <w:spacing w:line="440" w:lineRule="exact"/>
        <w:ind w:firstLine="480" w:firstLineChars="200"/>
        <w:rPr>
          <w:rFonts w:ascii="宋体"/>
          <w:bCs/>
          <w:color w:val="000000"/>
          <w:sz w:val="24"/>
        </w:rPr>
      </w:pPr>
      <w:r>
        <w:rPr>
          <w:rFonts w:hint="eastAsia" w:ascii="宋体"/>
          <w:bCs/>
          <w:color w:val="000000"/>
          <w:sz w:val="24"/>
        </w:rPr>
        <w:t>11.2除项目规范另有规定外，比选响应文件使用的度量衡单位，均采用中华人民共和国法定计量单位。</w:t>
      </w:r>
    </w:p>
    <w:p w14:paraId="2F9433D5">
      <w:pPr>
        <w:pStyle w:val="5"/>
        <w:widowControl w:val="0"/>
        <w:spacing w:before="0" w:after="0" w:line="500" w:lineRule="exact"/>
        <w:ind w:firstLine="482" w:firstLineChars="200"/>
        <w:jc w:val="both"/>
        <w:rPr>
          <w:rFonts w:ascii="宋体"/>
          <w:bCs/>
          <w:color w:val="000000"/>
          <w:kern w:val="2"/>
          <w:sz w:val="24"/>
          <w:szCs w:val="24"/>
        </w:rPr>
      </w:pPr>
      <w:bookmarkStart w:id="40" w:name="_Toc291754361"/>
      <w:bookmarkStart w:id="41" w:name="_Toc291695254"/>
      <w:r>
        <w:rPr>
          <w:rFonts w:hint="eastAsia" w:ascii="宋体"/>
          <w:bCs/>
          <w:color w:val="000000"/>
          <w:kern w:val="2"/>
          <w:sz w:val="24"/>
          <w:szCs w:val="24"/>
        </w:rPr>
        <w:t>12.比选</w:t>
      </w:r>
      <w:r>
        <w:rPr>
          <w:rFonts w:hint="eastAsia" w:ascii="宋体"/>
          <w:color w:val="000000"/>
          <w:sz w:val="24"/>
        </w:rPr>
        <w:t>响应</w:t>
      </w:r>
      <w:r>
        <w:rPr>
          <w:rFonts w:hint="eastAsia" w:ascii="宋体"/>
          <w:bCs/>
          <w:color w:val="000000"/>
          <w:kern w:val="2"/>
          <w:sz w:val="24"/>
          <w:szCs w:val="24"/>
        </w:rPr>
        <w:t>文件的组成</w:t>
      </w:r>
      <w:bookmarkEnd w:id="40"/>
      <w:bookmarkEnd w:id="41"/>
    </w:p>
    <w:p w14:paraId="48D5DA91">
      <w:pPr>
        <w:spacing w:line="440" w:lineRule="exact"/>
        <w:ind w:firstLine="480" w:firstLineChars="200"/>
        <w:rPr>
          <w:rFonts w:ascii="宋体"/>
          <w:bCs/>
          <w:color w:val="000000"/>
          <w:sz w:val="24"/>
        </w:rPr>
      </w:pPr>
      <w:r>
        <w:rPr>
          <w:rFonts w:hint="eastAsia" w:ascii="宋体"/>
          <w:bCs/>
          <w:color w:val="000000"/>
          <w:sz w:val="24"/>
        </w:rPr>
        <w:t>比选</w:t>
      </w:r>
      <w:r>
        <w:rPr>
          <w:rFonts w:hint="eastAsia" w:ascii="宋体"/>
          <w:color w:val="000000"/>
          <w:sz w:val="24"/>
        </w:rPr>
        <w:t>响应</w:t>
      </w:r>
      <w:r>
        <w:rPr>
          <w:rFonts w:hint="eastAsia" w:ascii="宋体"/>
          <w:bCs/>
          <w:color w:val="000000"/>
          <w:sz w:val="24"/>
        </w:rPr>
        <w:t>文件主要包括但不限于以下内容：</w:t>
      </w:r>
    </w:p>
    <w:p w14:paraId="67462906">
      <w:pPr>
        <w:numPr>
          <w:ilvl w:val="0"/>
          <w:numId w:val="6"/>
        </w:numPr>
        <w:spacing w:line="440" w:lineRule="exact"/>
        <w:ind w:left="0" w:firstLine="200"/>
        <w:rPr>
          <w:rFonts w:ascii="宋体"/>
          <w:bCs/>
          <w:color w:val="000000"/>
          <w:sz w:val="24"/>
        </w:rPr>
      </w:pPr>
      <w:r>
        <w:rPr>
          <w:rFonts w:hint="eastAsia" w:ascii="宋体"/>
          <w:bCs/>
          <w:color w:val="000000"/>
          <w:sz w:val="24"/>
        </w:rPr>
        <w:t>参选承诺函</w:t>
      </w:r>
    </w:p>
    <w:p w14:paraId="40B6FD2A">
      <w:pPr>
        <w:numPr>
          <w:ilvl w:val="0"/>
          <w:numId w:val="6"/>
        </w:numPr>
        <w:spacing w:line="440" w:lineRule="exact"/>
        <w:ind w:left="0" w:firstLine="200"/>
        <w:rPr>
          <w:rFonts w:ascii="宋体"/>
          <w:bCs/>
          <w:color w:val="000000"/>
          <w:sz w:val="24"/>
        </w:rPr>
      </w:pPr>
      <w:r>
        <w:rPr>
          <w:rFonts w:hint="eastAsia" w:ascii="宋体"/>
          <w:bCs/>
          <w:color w:val="000000"/>
          <w:sz w:val="24"/>
        </w:rPr>
        <w:t>比选申请人情况简介</w:t>
      </w:r>
    </w:p>
    <w:p w14:paraId="22D64806">
      <w:pPr>
        <w:numPr>
          <w:ilvl w:val="0"/>
          <w:numId w:val="6"/>
        </w:numPr>
        <w:spacing w:line="440" w:lineRule="exact"/>
        <w:ind w:left="0" w:firstLine="200"/>
        <w:rPr>
          <w:rFonts w:ascii="宋体"/>
          <w:bCs/>
          <w:color w:val="000000"/>
          <w:sz w:val="24"/>
        </w:rPr>
      </w:pPr>
      <w:r>
        <w:rPr>
          <w:rFonts w:hint="eastAsia" w:ascii="宋体"/>
          <w:bCs/>
          <w:color w:val="000000"/>
          <w:sz w:val="24"/>
        </w:rPr>
        <w:t>法定代表人资格证明书和法定代表人授权委托书</w:t>
      </w:r>
    </w:p>
    <w:p w14:paraId="0FDDA6E8">
      <w:pPr>
        <w:numPr>
          <w:ilvl w:val="0"/>
          <w:numId w:val="6"/>
        </w:numPr>
        <w:spacing w:line="440" w:lineRule="exact"/>
        <w:ind w:left="0" w:firstLine="200"/>
        <w:rPr>
          <w:rFonts w:ascii="宋体"/>
          <w:bCs/>
          <w:color w:val="000000"/>
          <w:sz w:val="24"/>
        </w:rPr>
      </w:pPr>
      <w:r>
        <w:rPr>
          <w:rFonts w:hint="eastAsia" w:ascii="宋体"/>
          <w:bCs/>
          <w:color w:val="000000"/>
          <w:sz w:val="24"/>
        </w:rPr>
        <w:t>类似项目统计表</w:t>
      </w:r>
    </w:p>
    <w:p w14:paraId="6A0EFFF4">
      <w:pPr>
        <w:numPr>
          <w:ilvl w:val="0"/>
          <w:numId w:val="6"/>
        </w:numPr>
        <w:spacing w:line="440" w:lineRule="exact"/>
        <w:ind w:left="0" w:firstLine="200"/>
        <w:rPr>
          <w:rFonts w:ascii="宋体"/>
          <w:bCs/>
          <w:color w:val="000000"/>
          <w:sz w:val="24"/>
        </w:rPr>
      </w:pPr>
      <w:r>
        <w:rPr>
          <w:rFonts w:hint="eastAsia" w:ascii="宋体"/>
          <w:bCs/>
          <w:color w:val="000000"/>
          <w:sz w:val="24"/>
        </w:rPr>
        <w:t>主要人员</w:t>
      </w:r>
    </w:p>
    <w:p w14:paraId="736702D3">
      <w:pPr>
        <w:numPr>
          <w:ilvl w:val="0"/>
          <w:numId w:val="6"/>
        </w:numPr>
        <w:spacing w:line="440" w:lineRule="exact"/>
        <w:ind w:left="0" w:firstLine="200"/>
        <w:rPr>
          <w:rFonts w:ascii="宋体"/>
          <w:bCs/>
          <w:color w:val="000000"/>
          <w:sz w:val="24"/>
        </w:rPr>
      </w:pPr>
      <w:r>
        <w:rPr>
          <w:rFonts w:hint="eastAsia" w:ascii="宋体"/>
          <w:bCs/>
          <w:color w:val="000000"/>
          <w:sz w:val="24"/>
        </w:rPr>
        <w:t>报价</w:t>
      </w:r>
    </w:p>
    <w:p w14:paraId="3233D5F1">
      <w:pPr>
        <w:numPr>
          <w:ilvl w:val="0"/>
          <w:numId w:val="6"/>
        </w:numPr>
        <w:spacing w:line="440" w:lineRule="exact"/>
        <w:ind w:left="0" w:firstLine="200"/>
        <w:rPr>
          <w:rFonts w:ascii="宋体"/>
          <w:bCs/>
          <w:color w:val="000000"/>
          <w:sz w:val="24"/>
        </w:rPr>
      </w:pPr>
      <w:r>
        <w:rPr>
          <w:rFonts w:hint="eastAsia" w:ascii="宋体"/>
          <w:bCs/>
          <w:color w:val="000000"/>
          <w:sz w:val="24"/>
        </w:rPr>
        <w:t>单位资信证明材料</w:t>
      </w:r>
    </w:p>
    <w:p w14:paraId="2311736A">
      <w:pPr>
        <w:numPr>
          <w:ilvl w:val="0"/>
          <w:numId w:val="6"/>
        </w:numPr>
        <w:spacing w:line="440" w:lineRule="exact"/>
        <w:ind w:left="0" w:firstLine="200"/>
        <w:rPr>
          <w:rFonts w:ascii="宋体"/>
          <w:bCs/>
          <w:color w:val="000000"/>
          <w:sz w:val="24"/>
        </w:rPr>
      </w:pPr>
      <w:r>
        <w:rPr>
          <w:rFonts w:hint="eastAsia" w:ascii="宋体"/>
          <w:bCs/>
          <w:color w:val="000000"/>
          <w:sz w:val="24"/>
        </w:rPr>
        <w:t>其他材料</w:t>
      </w:r>
    </w:p>
    <w:p w14:paraId="438848F5">
      <w:pPr>
        <w:pStyle w:val="5"/>
        <w:widowControl w:val="0"/>
        <w:spacing w:before="0" w:after="0" w:line="500" w:lineRule="exact"/>
        <w:ind w:firstLine="482" w:firstLineChars="200"/>
        <w:jc w:val="both"/>
        <w:rPr>
          <w:rFonts w:ascii="宋体"/>
          <w:bCs/>
          <w:color w:val="000000"/>
          <w:kern w:val="2"/>
          <w:sz w:val="24"/>
          <w:szCs w:val="24"/>
        </w:rPr>
      </w:pPr>
      <w:bookmarkStart w:id="42" w:name="_Toc291754362"/>
      <w:bookmarkStart w:id="43" w:name="_Toc291695255"/>
      <w:r>
        <w:rPr>
          <w:rFonts w:hint="eastAsia" w:ascii="宋体"/>
          <w:bCs/>
          <w:color w:val="000000"/>
          <w:kern w:val="2"/>
          <w:sz w:val="24"/>
          <w:szCs w:val="24"/>
        </w:rPr>
        <w:t>13.比选响应文件的份数和签署</w:t>
      </w:r>
      <w:bookmarkEnd w:id="42"/>
      <w:bookmarkEnd w:id="43"/>
    </w:p>
    <w:p w14:paraId="09E4C6DB">
      <w:pPr>
        <w:spacing w:line="440" w:lineRule="exact"/>
        <w:ind w:firstLine="480" w:firstLineChars="200"/>
        <w:rPr>
          <w:rFonts w:ascii="宋体"/>
          <w:color w:val="000000"/>
          <w:sz w:val="24"/>
        </w:rPr>
      </w:pPr>
      <w:r>
        <w:rPr>
          <w:rFonts w:hint="eastAsia" w:ascii="宋体"/>
          <w:color w:val="000000"/>
          <w:sz w:val="24"/>
        </w:rPr>
        <w:t>13.1 比选申请人应按比选须知前附表第11项规定的份数提交比选响应文件</w:t>
      </w:r>
      <w:bookmarkStart w:id="44" w:name="_Hlt83716411"/>
      <w:bookmarkEnd w:id="44"/>
      <w:r>
        <w:rPr>
          <w:rFonts w:hint="eastAsia" w:ascii="宋体"/>
          <w:color w:val="000000"/>
          <w:sz w:val="24"/>
        </w:rPr>
        <w:t>。</w:t>
      </w:r>
    </w:p>
    <w:p w14:paraId="557DF9CC">
      <w:pPr>
        <w:spacing w:line="440" w:lineRule="exact"/>
        <w:ind w:firstLine="480" w:firstLineChars="200"/>
        <w:rPr>
          <w:rFonts w:ascii="宋体"/>
          <w:color w:val="000000"/>
          <w:sz w:val="24"/>
        </w:rPr>
      </w:pPr>
      <w:r>
        <w:rPr>
          <w:rFonts w:hint="eastAsia" w:ascii="宋体"/>
          <w:color w:val="000000"/>
          <w:sz w:val="24"/>
        </w:rPr>
        <w:t>13.2 比选响应文件封面或扉页、参选承诺函均应加盖比选申请人印章并经法定代表人或其委托代理人签字或盖章。由委托代理人签字或盖章的在比选响应文件中须同时提交法定代表人授权委托书。法定代表人授权委托书格式、签字、盖章及内容均应符合本比选文件要求，否则其法定代表人授权委托书无效。</w:t>
      </w:r>
    </w:p>
    <w:p w14:paraId="3CEBDCE5">
      <w:pPr>
        <w:spacing w:line="440" w:lineRule="exact"/>
        <w:ind w:firstLine="480" w:firstLineChars="200"/>
        <w:rPr>
          <w:rFonts w:ascii="宋体"/>
          <w:color w:val="000000"/>
          <w:sz w:val="24"/>
        </w:rPr>
      </w:pPr>
      <w:r>
        <w:rPr>
          <w:rFonts w:hint="eastAsia" w:ascii="宋体"/>
          <w:color w:val="000000"/>
          <w:sz w:val="24"/>
        </w:rPr>
        <w:t>13.3 除比选申请人对错误处须修改外，全套比选响应文件应无涂改或行间插字和增删。如有修改，修改处应由受邀比选人加盖比选申请人的印章和由比选响应文件签字人签字或盖章。</w:t>
      </w:r>
    </w:p>
    <w:p w14:paraId="32D9E64E">
      <w:pPr>
        <w:pStyle w:val="5"/>
        <w:widowControl w:val="0"/>
        <w:spacing w:before="0" w:after="0" w:line="500" w:lineRule="exact"/>
        <w:ind w:firstLine="482" w:firstLineChars="200"/>
        <w:jc w:val="both"/>
        <w:rPr>
          <w:rFonts w:ascii="宋体"/>
          <w:bCs/>
          <w:color w:val="000000"/>
          <w:kern w:val="2"/>
          <w:sz w:val="24"/>
          <w:szCs w:val="24"/>
        </w:rPr>
      </w:pPr>
      <w:bookmarkStart w:id="45" w:name="_Toc291695256"/>
      <w:bookmarkStart w:id="46" w:name="_Toc291754363"/>
      <w:r>
        <w:rPr>
          <w:rFonts w:hint="eastAsia" w:ascii="宋体"/>
          <w:bCs/>
          <w:color w:val="000000"/>
          <w:kern w:val="2"/>
          <w:sz w:val="24"/>
          <w:szCs w:val="24"/>
        </w:rPr>
        <w:t>14.比选响应文件的装订、标记和密封</w:t>
      </w:r>
      <w:bookmarkEnd w:id="45"/>
      <w:bookmarkEnd w:id="46"/>
    </w:p>
    <w:p w14:paraId="66A399DA">
      <w:pPr>
        <w:spacing w:line="440" w:lineRule="exact"/>
        <w:ind w:firstLine="480" w:firstLineChars="200"/>
        <w:rPr>
          <w:rFonts w:ascii="宋体"/>
          <w:color w:val="000000"/>
          <w:sz w:val="24"/>
        </w:rPr>
      </w:pPr>
      <w:r>
        <w:rPr>
          <w:rFonts w:hint="eastAsia" w:ascii="宋体"/>
          <w:color w:val="000000"/>
          <w:sz w:val="24"/>
        </w:rPr>
        <w:t>14.1 比选响应文件的装订：</w:t>
      </w:r>
    </w:p>
    <w:p w14:paraId="21233E7A">
      <w:pPr>
        <w:spacing w:line="440" w:lineRule="exact"/>
        <w:ind w:firstLine="480" w:firstLineChars="200"/>
        <w:rPr>
          <w:rFonts w:ascii="宋体"/>
          <w:color w:val="000000"/>
          <w:sz w:val="24"/>
        </w:rPr>
      </w:pPr>
      <w:r>
        <w:rPr>
          <w:rFonts w:hint="eastAsia" w:ascii="宋体"/>
          <w:color w:val="000000"/>
          <w:sz w:val="24"/>
        </w:rPr>
        <w:t>比选申请人的所有比选响应文件均应使用GB/T148-A4型（210mm×297mm）纸（或按相同规格的倍数扩展）打印，字迹应清晰易于辨认。比选响应文件的正本和副本应采用粘贴方式左侧装订，不得采用活页夹等可随时拆换的方式装订，不得有零散页。</w:t>
      </w:r>
    </w:p>
    <w:p w14:paraId="6ECFE482">
      <w:pPr>
        <w:spacing w:line="440" w:lineRule="exact"/>
        <w:ind w:firstLine="480" w:firstLineChars="200"/>
        <w:rPr>
          <w:rFonts w:ascii="宋体"/>
          <w:color w:val="000000"/>
          <w:sz w:val="24"/>
        </w:rPr>
      </w:pPr>
      <w:r>
        <w:rPr>
          <w:rFonts w:hint="eastAsia" w:ascii="宋体"/>
          <w:color w:val="000000"/>
          <w:sz w:val="24"/>
        </w:rPr>
        <w:t>14.2比选响应文件的标记：</w:t>
      </w:r>
    </w:p>
    <w:p w14:paraId="50645CE1">
      <w:pPr>
        <w:spacing w:line="440" w:lineRule="exact"/>
        <w:ind w:firstLine="480" w:firstLineChars="200"/>
        <w:rPr>
          <w:rFonts w:ascii="宋体"/>
          <w:b/>
          <w:color w:val="000000"/>
          <w:sz w:val="24"/>
        </w:rPr>
      </w:pPr>
      <w:r>
        <w:rPr>
          <w:rFonts w:hint="eastAsia" w:ascii="宋体"/>
          <w:color w:val="000000"/>
          <w:sz w:val="24"/>
        </w:rPr>
        <w:t>14.2.1比选申请人应在比选响应文件封面上标明“正本”或“副本”。正本和副本如有不一致之处，以正本为准。</w:t>
      </w:r>
    </w:p>
    <w:p w14:paraId="0E2CFE89">
      <w:pPr>
        <w:spacing w:line="440" w:lineRule="exact"/>
        <w:ind w:firstLine="480" w:firstLineChars="200"/>
        <w:rPr>
          <w:rFonts w:ascii="宋体"/>
          <w:color w:val="000000"/>
          <w:sz w:val="24"/>
        </w:rPr>
      </w:pPr>
      <w:r>
        <w:rPr>
          <w:rFonts w:hint="eastAsia" w:ascii="宋体"/>
          <w:color w:val="000000"/>
          <w:sz w:val="24"/>
        </w:rPr>
        <w:t>14.2.2比选响应文件密封包封面应清楚地标明以下内容：</w:t>
      </w:r>
    </w:p>
    <w:p w14:paraId="66B2EB7E">
      <w:pPr>
        <w:numPr>
          <w:ilvl w:val="0"/>
          <w:numId w:val="7"/>
        </w:numPr>
        <w:spacing w:line="440" w:lineRule="exact"/>
        <w:ind w:left="0" w:firstLine="480" w:firstLineChars="200"/>
        <w:rPr>
          <w:rFonts w:ascii="宋体"/>
          <w:color w:val="000000"/>
          <w:sz w:val="24"/>
        </w:rPr>
      </w:pPr>
      <w:r>
        <w:rPr>
          <w:rFonts w:hint="eastAsia" w:ascii="宋体"/>
          <w:color w:val="000000"/>
          <w:sz w:val="24"/>
        </w:rPr>
        <w:t>比选项目名称：</w:t>
      </w:r>
      <w:r>
        <w:rPr>
          <w:rFonts w:hint="eastAsia" w:ascii="宋体"/>
          <w:color w:val="000000"/>
          <w:sz w:val="24"/>
          <w:lang w:eastAsia="zh-CN"/>
        </w:rPr>
        <w:t>食用林产品质量安全监督检测项目技术服务</w:t>
      </w:r>
    </w:p>
    <w:p w14:paraId="50CFE1DF">
      <w:pPr>
        <w:numPr>
          <w:ilvl w:val="0"/>
          <w:numId w:val="7"/>
        </w:numPr>
        <w:spacing w:line="440" w:lineRule="exact"/>
        <w:ind w:left="0" w:firstLine="480" w:firstLineChars="200"/>
        <w:rPr>
          <w:rFonts w:ascii="宋体"/>
          <w:color w:val="000000"/>
          <w:sz w:val="24"/>
        </w:rPr>
      </w:pPr>
      <w:r>
        <w:rPr>
          <w:rFonts w:hint="eastAsia" w:ascii="宋体"/>
          <w:color w:val="000000"/>
          <w:sz w:val="24"/>
        </w:rPr>
        <w:t>比选申请人名称：（应加盖比选申请人印章）</w:t>
      </w:r>
    </w:p>
    <w:p w14:paraId="14D63CBB">
      <w:pPr>
        <w:numPr>
          <w:ilvl w:val="0"/>
          <w:numId w:val="7"/>
        </w:numPr>
        <w:spacing w:line="440" w:lineRule="exact"/>
        <w:ind w:left="0" w:firstLine="480" w:firstLineChars="200"/>
        <w:rPr>
          <w:rFonts w:ascii="宋体"/>
          <w:color w:val="000000"/>
          <w:sz w:val="24"/>
        </w:rPr>
      </w:pPr>
      <w:r>
        <w:rPr>
          <w:rFonts w:hint="eastAsia" w:ascii="宋体"/>
          <w:color w:val="auto"/>
          <w:sz w:val="24"/>
          <w:highlight w:val="none"/>
        </w:rPr>
        <w:t>在202</w:t>
      </w:r>
      <w:r>
        <w:rPr>
          <w:rFonts w:hint="eastAsia" w:ascii="宋体"/>
          <w:color w:val="auto"/>
          <w:sz w:val="24"/>
          <w:highlight w:val="none"/>
          <w:lang w:val="en-US" w:eastAsia="zh-CN"/>
        </w:rPr>
        <w:t>5</w:t>
      </w:r>
      <w:r>
        <w:rPr>
          <w:rFonts w:hint="eastAsia" w:ascii="宋体"/>
          <w:color w:val="auto"/>
          <w:sz w:val="24"/>
          <w:highlight w:val="none"/>
        </w:rPr>
        <w:t>年</w:t>
      </w:r>
      <w:r>
        <w:rPr>
          <w:rFonts w:hint="eastAsia" w:ascii="宋体"/>
          <w:color w:val="auto"/>
          <w:sz w:val="24"/>
          <w:highlight w:val="none"/>
          <w:lang w:val="en-US" w:eastAsia="zh-CN"/>
        </w:rPr>
        <w:t>9</w:t>
      </w:r>
      <w:r>
        <w:rPr>
          <w:rFonts w:hint="eastAsia" w:ascii="宋体"/>
          <w:color w:val="auto"/>
          <w:sz w:val="24"/>
          <w:highlight w:val="none"/>
        </w:rPr>
        <w:t>月</w:t>
      </w:r>
      <w:r>
        <w:rPr>
          <w:rFonts w:hint="eastAsia" w:ascii="宋体"/>
          <w:color w:val="auto"/>
          <w:sz w:val="24"/>
          <w:highlight w:val="none"/>
          <w:u w:val="single"/>
          <w:lang w:val="en-US" w:eastAsia="zh-CN"/>
        </w:rPr>
        <w:t xml:space="preserve"> 19 </w:t>
      </w:r>
      <w:r>
        <w:rPr>
          <w:rFonts w:hint="eastAsia" w:ascii="宋体"/>
          <w:color w:val="auto"/>
          <w:sz w:val="24"/>
          <w:highlight w:val="none"/>
        </w:rPr>
        <w:t>日 1</w:t>
      </w:r>
      <w:r>
        <w:rPr>
          <w:rFonts w:hint="eastAsia" w:ascii="宋体"/>
          <w:color w:val="auto"/>
          <w:sz w:val="24"/>
          <w:highlight w:val="none"/>
          <w:lang w:val="en-US" w:eastAsia="zh-CN"/>
        </w:rPr>
        <w:t>6</w:t>
      </w:r>
      <w:r>
        <w:rPr>
          <w:rFonts w:hint="eastAsia" w:ascii="宋体"/>
          <w:color w:val="auto"/>
          <w:sz w:val="24"/>
          <w:highlight w:val="none"/>
        </w:rPr>
        <w:t>时00</w:t>
      </w:r>
      <w:r>
        <w:rPr>
          <w:rFonts w:hint="eastAsia" w:ascii="宋体"/>
          <w:color w:val="auto"/>
          <w:sz w:val="24"/>
          <w:highlight w:val="none"/>
          <w:u w:val="single"/>
        </w:rPr>
        <w:t>分</w:t>
      </w:r>
      <w:r>
        <w:rPr>
          <w:rFonts w:hint="eastAsia" w:ascii="宋体"/>
          <w:color w:val="auto"/>
          <w:sz w:val="24"/>
          <w:highlight w:val="none"/>
        </w:rPr>
        <w:t>（比选响应</w:t>
      </w:r>
      <w:r>
        <w:rPr>
          <w:rFonts w:hint="eastAsia" w:ascii="宋体"/>
          <w:color w:val="auto"/>
          <w:sz w:val="24"/>
        </w:rPr>
        <w:t>文件</w:t>
      </w:r>
      <w:r>
        <w:rPr>
          <w:rFonts w:hint="eastAsia" w:ascii="宋体"/>
          <w:sz w:val="24"/>
        </w:rPr>
        <w:t>提交</w:t>
      </w:r>
      <w:r>
        <w:rPr>
          <w:rFonts w:hint="eastAsia" w:ascii="宋体"/>
          <w:color w:val="000000"/>
          <w:sz w:val="24"/>
        </w:rPr>
        <w:t>截止时间）前不得开封。</w:t>
      </w:r>
    </w:p>
    <w:p w14:paraId="5ECE8EE2">
      <w:pPr>
        <w:spacing w:line="440" w:lineRule="exact"/>
        <w:ind w:firstLine="480" w:firstLineChars="200"/>
        <w:rPr>
          <w:rFonts w:ascii="宋体"/>
          <w:color w:val="000000"/>
          <w:sz w:val="24"/>
        </w:rPr>
      </w:pPr>
      <w:r>
        <w:rPr>
          <w:rFonts w:hint="eastAsia" w:ascii="宋体"/>
          <w:color w:val="000000"/>
          <w:sz w:val="24"/>
        </w:rPr>
        <w:t>14.3比选响应文件的密封：</w:t>
      </w:r>
    </w:p>
    <w:p w14:paraId="5DB21235">
      <w:pPr>
        <w:spacing w:line="440" w:lineRule="exact"/>
        <w:ind w:firstLine="480" w:firstLineChars="200"/>
        <w:rPr>
          <w:rFonts w:ascii="宋体"/>
          <w:color w:val="000000"/>
          <w:sz w:val="24"/>
        </w:rPr>
      </w:pPr>
      <w:r>
        <w:rPr>
          <w:rFonts w:hint="eastAsia" w:ascii="宋体"/>
          <w:color w:val="000000"/>
          <w:sz w:val="24"/>
        </w:rPr>
        <w:t>14.3.1比选申请人应将所有的比选响应文件进行密封</w:t>
      </w:r>
      <w:r>
        <w:rPr>
          <w:rFonts w:hint="eastAsia" w:ascii="宋体"/>
          <w:bCs/>
          <w:color w:val="000000"/>
          <w:sz w:val="24"/>
        </w:rPr>
        <w:t>（密封方式不限）</w:t>
      </w:r>
      <w:r>
        <w:rPr>
          <w:rFonts w:hint="eastAsia" w:ascii="宋体"/>
          <w:color w:val="000000"/>
          <w:sz w:val="24"/>
        </w:rPr>
        <w:t>。</w:t>
      </w:r>
    </w:p>
    <w:p w14:paraId="0A95B9DD">
      <w:pPr>
        <w:spacing w:line="440" w:lineRule="exact"/>
        <w:ind w:firstLine="480" w:firstLineChars="200"/>
        <w:rPr>
          <w:rFonts w:ascii="宋体"/>
          <w:color w:val="000000"/>
          <w:sz w:val="24"/>
        </w:rPr>
      </w:pPr>
      <w:r>
        <w:rPr>
          <w:rFonts w:hint="eastAsia" w:ascii="宋体"/>
          <w:color w:val="000000"/>
          <w:sz w:val="24"/>
        </w:rPr>
        <w:t>14.3.2</w:t>
      </w:r>
      <w:r>
        <w:rPr>
          <w:rFonts w:hint="eastAsia" w:ascii="宋体"/>
          <w:bCs/>
          <w:color w:val="000000"/>
          <w:sz w:val="24"/>
        </w:rPr>
        <w:t>所有比选响应文件的</w:t>
      </w:r>
      <w:r>
        <w:rPr>
          <w:rFonts w:hint="eastAsia" w:ascii="宋体"/>
          <w:color w:val="000000"/>
          <w:sz w:val="24"/>
        </w:rPr>
        <w:t>密封包最外层</w:t>
      </w:r>
      <w:r>
        <w:rPr>
          <w:rFonts w:hint="eastAsia" w:ascii="宋体"/>
          <w:bCs/>
          <w:color w:val="000000"/>
          <w:sz w:val="24"/>
        </w:rPr>
        <w:t>的密封处</w:t>
      </w:r>
      <w:r>
        <w:rPr>
          <w:rFonts w:hint="eastAsia" w:ascii="宋体"/>
          <w:color w:val="000000"/>
          <w:sz w:val="24"/>
        </w:rPr>
        <w:t>均应加盖比选申请人印章。</w:t>
      </w:r>
    </w:p>
    <w:p w14:paraId="33904C38">
      <w:pPr>
        <w:spacing w:line="440" w:lineRule="exact"/>
        <w:ind w:firstLine="480" w:firstLineChars="200"/>
        <w:rPr>
          <w:rFonts w:ascii="宋体"/>
          <w:color w:val="000000"/>
          <w:sz w:val="24"/>
        </w:rPr>
      </w:pPr>
      <w:r>
        <w:rPr>
          <w:rFonts w:hint="eastAsia" w:ascii="宋体"/>
          <w:color w:val="000000"/>
          <w:sz w:val="24"/>
        </w:rPr>
        <w:t>14.4 未按本须知第14.1款、第14.2款和第14.3</w:t>
      </w:r>
      <w:r>
        <w:rPr>
          <w:rFonts w:hint="eastAsia" w:ascii="宋体"/>
          <w:color w:val="000000"/>
        </w:rPr>
        <w:t>款</w:t>
      </w:r>
      <w:r>
        <w:rPr>
          <w:rFonts w:hint="eastAsia" w:ascii="宋体"/>
          <w:color w:val="000000"/>
          <w:sz w:val="24"/>
        </w:rPr>
        <w:t>的规定装订和加写标记及密封的比选响应文件，将不予受理。</w:t>
      </w:r>
    </w:p>
    <w:p w14:paraId="20C95576">
      <w:pPr>
        <w:spacing w:line="440" w:lineRule="exact"/>
        <w:ind w:firstLine="480" w:firstLineChars="200"/>
        <w:rPr>
          <w:rFonts w:ascii="宋体"/>
          <w:color w:val="000000"/>
          <w:sz w:val="24"/>
        </w:rPr>
      </w:pPr>
    </w:p>
    <w:p w14:paraId="4A9F6934">
      <w:pPr>
        <w:spacing w:line="440" w:lineRule="exact"/>
        <w:ind w:firstLine="480" w:firstLineChars="200"/>
        <w:rPr>
          <w:rFonts w:ascii="宋体"/>
          <w:color w:val="000000"/>
          <w:sz w:val="24"/>
        </w:rPr>
      </w:pPr>
    </w:p>
    <w:p w14:paraId="11E07FC3">
      <w:pPr>
        <w:pStyle w:val="3"/>
        <w:keepLines w:val="0"/>
        <w:widowControl w:val="0"/>
        <w:spacing w:before="192" w:beforeLines="80" w:after="192" w:afterLines="80" w:line="500" w:lineRule="exact"/>
        <w:rPr>
          <w:rFonts w:ascii="宋体" w:eastAsia="宋体"/>
          <w:color w:val="000000"/>
          <w:kern w:val="2"/>
          <w:szCs w:val="24"/>
        </w:rPr>
      </w:pPr>
      <w:bookmarkStart w:id="47" w:name="_Toc291695257"/>
      <w:bookmarkStart w:id="48" w:name="_Toc291754364"/>
      <w:r>
        <w:rPr>
          <w:rFonts w:hint="eastAsia" w:ascii="宋体" w:eastAsia="宋体"/>
          <w:color w:val="000000"/>
          <w:kern w:val="2"/>
          <w:szCs w:val="24"/>
        </w:rPr>
        <w:t>四、比选响应文件的提交</w:t>
      </w:r>
      <w:bookmarkEnd w:id="47"/>
      <w:bookmarkEnd w:id="48"/>
    </w:p>
    <w:p w14:paraId="11EF3A21">
      <w:pPr>
        <w:pStyle w:val="5"/>
        <w:widowControl w:val="0"/>
        <w:spacing w:before="0" w:after="0" w:line="500" w:lineRule="exact"/>
        <w:ind w:firstLine="482" w:firstLineChars="200"/>
        <w:jc w:val="both"/>
        <w:rPr>
          <w:rFonts w:ascii="宋体"/>
          <w:bCs/>
          <w:color w:val="000000"/>
          <w:kern w:val="2"/>
          <w:sz w:val="24"/>
          <w:szCs w:val="24"/>
        </w:rPr>
      </w:pPr>
      <w:bookmarkStart w:id="49" w:name="_Toc291754365"/>
      <w:bookmarkStart w:id="50" w:name="_Toc291695258"/>
      <w:r>
        <w:rPr>
          <w:rFonts w:hint="eastAsia" w:ascii="宋体"/>
          <w:bCs/>
          <w:color w:val="000000"/>
          <w:kern w:val="2"/>
          <w:sz w:val="24"/>
          <w:szCs w:val="24"/>
        </w:rPr>
        <w:t>15.比选响应文件的提交</w:t>
      </w:r>
      <w:bookmarkEnd w:id="49"/>
      <w:bookmarkEnd w:id="50"/>
    </w:p>
    <w:p w14:paraId="4915BC2C">
      <w:pPr>
        <w:spacing w:line="440" w:lineRule="exact"/>
        <w:ind w:firstLine="480" w:firstLineChars="200"/>
        <w:rPr>
          <w:rFonts w:ascii="宋体"/>
          <w:color w:val="000000"/>
          <w:sz w:val="24"/>
        </w:rPr>
      </w:pPr>
      <w:r>
        <w:rPr>
          <w:rFonts w:hint="eastAsia" w:ascii="宋体"/>
          <w:color w:val="000000"/>
          <w:sz w:val="24"/>
        </w:rPr>
        <w:t>15.1 比选申请人应按比选须知前附表第12项所规定的时间和地点提交比选响应文件。</w:t>
      </w:r>
    </w:p>
    <w:p w14:paraId="200201DA">
      <w:pPr>
        <w:spacing w:line="440" w:lineRule="exact"/>
        <w:ind w:firstLine="480" w:firstLineChars="200"/>
        <w:rPr>
          <w:rFonts w:ascii="宋体"/>
          <w:color w:val="000000"/>
          <w:sz w:val="24"/>
        </w:rPr>
      </w:pPr>
      <w:r>
        <w:rPr>
          <w:rFonts w:hint="eastAsia" w:ascii="宋体"/>
          <w:color w:val="000000"/>
          <w:sz w:val="24"/>
        </w:rPr>
        <w:t>15.2 比选响应文件提交的截止时间见比选须知前</w:t>
      </w:r>
      <w:r>
        <w:rPr>
          <w:rFonts w:hint="eastAsia" w:ascii="宋体"/>
          <w:color w:val="000000"/>
          <w:sz w:val="24"/>
          <w:highlight w:val="none"/>
        </w:rPr>
        <w:t>附表第13项规定</w:t>
      </w:r>
      <w:r>
        <w:rPr>
          <w:rFonts w:hint="eastAsia" w:ascii="宋体"/>
          <w:color w:val="000000"/>
          <w:sz w:val="24"/>
        </w:rPr>
        <w:t>。</w:t>
      </w:r>
    </w:p>
    <w:p w14:paraId="18AC5DD9">
      <w:pPr>
        <w:spacing w:line="440" w:lineRule="exact"/>
        <w:ind w:firstLine="480" w:firstLineChars="200"/>
        <w:rPr>
          <w:rFonts w:ascii="宋体"/>
          <w:color w:val="000000"/>
          <w:sz w:val="24"/>
        </w:rPr>
      </w:pPr>
      <w:r>
        <w:rPr>
          <w:rFonts w:hint="eastAsia" w:ascii="宋体"/>
          <w:color w:val="000000"/>
          <w:sz w:val="24"/>
        </w:rPr>
        <w:t>15.3 比选人可按本须知第9条规定以修改补充通知的方式，酌情延长提交比选响应文件的截止时间。在此情况下，比选人与比选申请人以前在比选截止时间方面的全部权利、责任和义务，将适用于延迟后新的比选截止时间。比选申请人对延迟比选截止时间应在24小时内予以书面响应，比选申请人也可不予响应放弃比选。</w:t>
      </w:r>
    </w:p>
    <w:p w14:paraId="762E941B">
      <w:pPr>
        <w:spacing w:line="440" w:lineRule="exact"/>
        <w:ind w:firstLine="480" w:firstLineChars="200"/>
        <w:rPr>
          <w:rFonts w:ascii="宋体"/>
          <w:color w:val="000000"/>
          <w:sz w:val="24"/>
        </w:rPr>
      </w:pPr>
      <w:r>
        <w:rPr>
          <w:rFonts w:hint="eastAsia" w:ascii="宋体"/>
          <w:color w:val="000000"/>
          <w:sz w:val="24"/>
        </w:rPr>
        <w:t>15.4 到比选截止时间止，比选人收到的比选响应文件少于3个的，比选人将依法重新组织比选。</w:t>
      </w:r>
    </w:p>
    <w:p w14:paraId="6451CA38">
      <w:pPr>
        <w:pStyle w:val="5"/>
        <w:widowControl w:val="0"/>
        <w:spacing w:before="0" w:after="0" w:line="500" w:lineRule="exact"/>
        <w:ind w:firstLine="482" w:firstLineChars="200"/>
        <w:jc w:val="both"/>
        <w:rPr>
          <w:rFonts w:ascii="宋体"/>
          <w:bCs/>
          <w:color w:val="000000"/>
          <w:kern w:val="2"/>
          <w:sz w:val="24"/>
          <w:szCs w:val="24"/>
        </w:rPr>
      </w:pPr>
      <w:bookmarkStart w:id="51" w:name="_Toc291754366"/>
      <w:bookmarkStart w:id="52" w:name="_Toc291695259"/>
      <w:r>
        <w:rPr>
          <w:rFonts w:hint="eastAsia" w:ascii="宋体"/>
          <w:bCs/>
          <w:color w:val="000000"/>
          <w:kern w:val="2"/>
          <w:sz w:val="24"/>
          <w:szCs w:val="24"/>
        </w:rPr>
        <w:t>16.比选有效期</w:t>
      </w:r>
      <w:bookmarkEnd w:id="51"/>
      <w:bookmarkEnd w:id="52"/>
    </w:p>
    <w:p w14:paraId="269BC92F">
      <w:pPr>
        <w:spacing w:line="440" w:lineRule="exact"/>
        <w:ind w:firstLine="480" w:firstLineChars="200"/>
        <w:rPr>
          <w:rFonts w:ascii="宋体"/>
          <w:color w:val="000000"/>
          <w:sz w:val="24"/>
        </w:rPr>
      </w:pPr>
      <w:r>
        <w:rPr>
          <w:rFonts w:hint="eastAsia" w:ascii="宋体"/>
          <w:color w:val="000000"/>
          <w:sz w:val="24"/>
        </w:rPr>
        <w:t>16.1比选有效期见比选须知前附表第13项所规定的期限，在此期限内，凡符合本比选方案要求的比选响应文件均保持有效。</w:t>
      </w:r>
    </w:p>
    <w:p w14:paraId="012FFC17">
      <w:pPr>
        <w:spacing w:line="440" w:lineRule="exact"/>
        <w:ind w:firstLine="480" w:firstLineChars="200"/>
        <w:rPr>
          <w:rFonts w:ascii="宋体"/>
          <w:color w:val="000000"/>
          <w:sz w:val="24"/>
        </w:rPr>
      </w:pPr>
      <w:r>
        <w:rPr>
          <w:rFonts w:hint="eastAsia" w:ascii="宋体"/>
          <w:color w:val="000000"/>
          <w:sz w:val="24"/>
        </w:rPr>
        <w:t>16.2 在特殊情况下，比选人在原定比选有效期内，可以根据需要以书面形式向比选申请人提出延长比选有效期的要求，对此要求比选申请人须以书面形式予以答复。比选申请人可以拒绝比选人这种要求，其比选失效。同意延长比选有效期的比选申请人既不能要求也不允许修改其比选响应文件，但需要相应的延长比选的有效期</w:t>
      </w:r>
    </w:p>
    <w:p w14:paraId="01FA04BE">
      <w:pPr>
        <w:spacing w:line="360" w:lineRule="auto"/>
        <w:rPr>
          <w:color w:val="000000"/>
          <w:szCs w:val="21"/>
        </w:rPr>
      </w:pPr>
      <w:bookmarkStart w:id="53" w:name="_Toc83635608"/>
      <w:bookmarkStart w:id="54" w:name="_Toc72240837"/>
      <w:bookmarkStart w:id="55" w:name="_Hlt83804110"/>
    </w:p>
    <w:p w14:paraId="2776D5CA">
      <w:pPr>
        <w:pStyle w:val="2"/>
        <w:keepLines/>
        <w:widowControl w:val="0"/>
        <w:spacing w:before="360" w:after="360" w:line="500" w:lineRule="exact"/>
        <w:rPr>
          <w:rFonts w:ascii="宋体" w:eastAsia="宋体"/>
          <w:b/>
          <w:bCs/>
          <w:color w:val="000000"/>
          <w:kern w:val="44"/>
          <w:sz w:val="44"/>
          <w:szCs w:val="44"/>
        </w:rPr>
      </w:pPr>
      <w:bookmarkStart w:id="56" w:name="_Toc291754368"/>
      <w:bookmarkStart w:id="57" w:name="_Toc134847739"/>
      <w:bookmarkStart w:id="58" w:name="_Toc208917530"/>
      <w:bookmarkStart w:id="59" w:name="_Toc217191372"/>
      <w:bookmarkStart w:id="60" w:name="_Toc224034406"/>
      <w:r>
        <w:rPr>
          <w:rFonts w:hint="eastAsia" w:ascii="宋体" w:eastAsia="宋体"/>
          <w:b/>
          <w:bCs/>
          <w:color w:val="000000"/>
          <w:kern w:val="44"/>
          <w:sz w:val="44"/>
          <w:szCs w:val="44"/>
        </w:rPr>
        <w:t>第四章  技术规范</w:t>
      </w:r>
      <w:bookmarkEnd w:id="56"/>
      <w:bookmarkEnd w:id="57"/>
      <w:bookmarkEnd w:id="58"/>
      <w:bookmarkEnd w:id="59"/>
      <w:bookmarkEnd w:id="60"/>
    </w:p>
    <w:p w14:paraId="34AAC63D">
      <w:pPr>
        <w:spacing w:line="200" w:lineRule="exact"/>
        <w:ind w:firstLine="420" w:firstLineChars="200"/>
        <w:rPr>
          <w:rFonts w:ascii="宋体"/>
          <w:color w:val="000000"/>
          <w:szCs w:val="21"/>
        </w:rPr>
      </w:pPr>
    </w:p>
    <w:p w14:paraId="09588069">
      <w:pPr>
        <w:pStyle w:val="42"/>
        <w:numPr>
          <w:ilvl w:val="0"/>
          <w:numId w:val="0"/>
        </w:numPr>
        <w:tabs>
          <w:tab w:val="left" w:pos="0"/>
        </w:tabs>
        <w:snapToGrid/>
        <w:ind w:firstLine="528" w:firstLineChars="200"/>
        <w:rPr>
          <w:rFonts w:hint="eastAsia" w:ascii="宋体" w:cs="Times New Roman"/>
          <w:color w:val="auto"/>
          <w:sz w:val="24"/>
          <w:szCs w:val="24"/>
          <w:highlight w:val="none"/>
          <w:lang w:val="en" w:eastAsia="zh-CN"/>
        </w:rPr>
      </w:pPr>
      <w:r>
        <w:rPr>
          <w:rFonts w:hint="eastAsia" w:ascii="宋体"/>
          <w:sz w:val="24"/>
        </w:rPr>
        <w:t xml:space="preserve">  </w:t>
      </w:r>
      <w:r>
        <w:rPr>
          <w:rFonts w:hint="eastAsia" w:ascii="宋体"/>
          <w:sz w:val="24"/>
          <w:lang w:val="en-US" w:eastAsia="zh-CN"/>
        </w:rPr>
        <w:t>1.</w:t>
      </w:r>
      <w:r>
        <w:rPr>
          <w:rFonts w:hint="eastAsia"/>
          <w:color w:val="auto"/>
          <w:sz w:val="24"/>
          <w:highlight w:val="none"/>
          <w:lang w:val="en-US" w:eastAsia="zh-CN"/>
        </w:rPr>
        <w:t>草种筛选：2026年5-6月对138个处理地块土壤的养分指标（总氮、有机质、有效磷、速效钾）、</w:t>
      </w:r>
      <w:r>
        <w:rPr>
          <w:rFonts w:hint="eastAsia" w:cs="Times New Roman"/>
          <w:color w:val="auto"/>
          <w:sz w:val="24"/>
          <w:szCs w:val="24"/>
          <w:highlight w:val="none"/>
          <w:lang w:val="en-US" w:eastAsia="zh-CN"/>
        </w:rPr>
        <w:t>盐分和其他指标</w:t>
      </w:r>
      <w:r>
        <w:rPr>
          <w:rFonts w:hint="eastAsia"/>
          <w:color w:val="auto"/>
          <w:sz w:val="24"/>
          <w:highlight w:val="none"/>
          <w:lang w:val="en-US" w:eastAsia="zh-CN"/>
        </w:rPr>
        <w:t>（全盐、pH）、土壤物理结构指标（水稳性大团聚体）进行检测；2026年6-7月采集监测138个草种生物量，测定处理地块上植株全碳、全氮含量，核算草带入土壤碳氮含量</w:t>
      </w:r>
      <w:r>
        <w:rPr>
          <w:rFonts w:hint="eastAsia" w:ascii="宋体"/>
          <w:color w:val="auto"/>
          <w:sz w:val="24"/>
          <w:highlight w:val="none"/>
          <w:lang w:eastAsia="zh-CN"/>
        </w:rPr>
        <w:t>；</w:t>
      </w:r>
      <w:r>
        <w:rPr>
          <w:rFonts w:hint="eastAsia" w:ascii="宋体"/>
          <w:color w:val="auto"/>
          <w:sz w:val="24"/>
          <w:highlight w:val="none"/>
          <w:lang w:val="en-US" w:eastAsia="zh-CN"/>
        </w:rPr>
        <w:t>2.修剪废弃物堆肥化处理</w:t>
      </w:r>
      <w:r>
        <w:rPr>
          <w:rFonts w:hint="eastAsia"/>
          <w:color w:val="auto"/>
          <w:sz w:val="24"/>
          <w:highlight w:val="none"/>
          <w:lang w:val="en-US" w:eastAsia="zh-CN"/>
        </w:rPr>
        <w:t>：</w:t>
      </w:r>
      <w:r>
        <w:rPr>
          <w:rFonts w:hint="eastAsia" w:ascii="宋体" w:hAnsi="Times New Roman" w:cs="Times New Roman"/>
          <w:color w:val="000000"/>
          <w:sz w:val="24"/>
          <w:lang w:val="en-US" w:eastAsia="zh-CN"/>
        </w:rPr>
        <w:t>果园修剪废弃物堆肥化处理后的指标满足畜禽粪便堆肥技术规范（NY/T3442-2019）限量指标要求</w:t>
      </w:r>
      <w:r>
        <w:rPr>
          <w:rFonts w:hint="eastAsia" w:cs="Times New Roman"/>
          <w:color w:val="000000"/>
          <w:sz w:val="24"/>
          <w:lang w:val="en-US" w:eastAsia="zh-CN"/>
        </w:rPr>
        <w:t>，监测指标还包括氯离子质量分数、全盐含量，用于评价堆肥产物盐分情况（不少于6个样品）；</w:t>
      </w:r>
      <w:r>
        <w:rPr>
          <w:rFonts w:hint="eastAsia" w:cs="Times New Roman"/>
          <w:color w:val="auto"/>
          <w:sz w:val="24"/>
          <w:szCs w:val="24"/>
          <w:highlight w:val="none"/>
          <w:lang w:val="en-US" w:eastAsia="zh-CN"/>
        </w:rPr>
        <w:t>3.果园绿肥种植+优化施肥技术研究：</w:t>
      </w:r>
      <w:r>
        <w:rPr>
          <w:rFonts w:hint="eastAsia"/>
          <w:color w:val="auto"/>
          <w:sz w:val="24"/>
          <w:highlight w:val="none"/>
          <w:lang w:val="en-US" w:eastAsia="zh-CN"/>
        </w:rPr>
        <w:t>2026年</w:t>
      </w:r>
      <w:r>
        <w:rPr>
          <w:rFonts w:hint="eastAsia" w:cs="Times New Roman"/>
          <w:color w:val="auto"/>
          <w:sz w:val="24"/>
          <w:szCs w:val="24"/>
          <w:highlight w:val="none"/>
          <w:lang w:val="en-US" w:eastAsia="zh-CN"/>
        </w:rPr>
        <w:t>7-10月分四次，对采集的土壤样品的养分指标（总氮、有机质、有效磷、速效钾）、盐分和其他指标（全盐、pH）、土壤物理结构指标（水稳性大团聚体）、土壤微生物多样性指标（土壤微生物，生物量（碳计））、土壤根际活化指标（土壤碱性磷酸酶、土壤脲酶、土壤过氧化氢酶）进行检测，共计48个样品；</w:t>
      </w:r>
      <w:r>
        <w:rPr>
          <w:rFonts w:hint="eastAsia"/>
          <w:color w:val="auto"/>
          <w:sz w:val="24"/>
          <w:highlight w:val="none"/>
          <w:lang w:val="en-US" w:eastAsia="zh-CN"/>
        </w:rPr>
        <w:t>2026年</w:t>
      </w:r>
      <w:r>
        <w:rPr>
          <w:rFonts w:hint="eastAsia" w:cs="Times New Roman"/>
          <w:color w:val="auto"/>
          <w:sz w:val="24"/>
          <w:szCs w:val="24"/>
          <w:highlight w:val="none"/>
          <w:lang w:val="en-US" w:eastAsia="zh-CN"/>
        </w:rPr>
        <w:t>7-10月进行植物群落特征监测，分四次进行植株采集监测，共计48个样品；</w:t>
      </w:r>
      <w:r>
        <w:rPr>
          <w:rFonts w:hint="eastAsia"/>
          <w:color w:val="auto"/>
          <w:sz w:val="24"/>
          <w:highlight w:val="none"/>
          <w:lang w:val="en-US" w:eastAsia="zh-CN"/>
        </w:rPr>
        <w:t>2026年</w:t>
      </w:r>
      <w:r>
        <w:rPr>
          <w:rFonts w:hint="eastAsia" w:cs="Times New Roman"/>
          <w:color w:val="auto"/>
          <w:sz w:val="24"/>
          <w:szCs w:val="24"/>
          <w:highlight w:val="none"/>
          <w:lang w:val="en-US" w:eastAsia="zh-CN"/>
        </w:rPr>
        <w:t>7-10月进行草种生物量及碳氮含量监测检测，分四次进行植株采集检测，共计48个样品；</w:t>
      </w:r>
      <w:r>
        <w:rPr>
          <w:rFonts w:hint="eastAsia"/>
          <w:color w:val="auto"/>
          <w:sz w:val="24"/>
          <w:highlight w:val="none"/>
          <w:lang w:val="en-US" w:eastAsia="zh-CN"/>
        </w:rPr>
        <w:t>2026年</w:t>
      </w:r>
      <w:r>
        <w:rPr>
          <w:rFonts w:hint="eastAsia" w:cs="Times New Roman"/>
          <w:color w:val="auto"/>
          <w:sz w:val="24"/>
          <w:szCs w:val="24"/>
          <w:highlight w:val="none"/>
          <w:lang w:val="en-US" w:eastAsia="zh-CN"/>
        </w:rPr>
        <w:t>7-9月对果品产量和品质（可溶性固形物含量、总糖、可滴定酸含量、维生素 C含量、糖酸比、氨基酸）进行检测，每个处理开展4批次，共计检测48个批次。</w:t>
      </w:r>
      <w:r>
        <w:rPr>
          <w:rFonts w:hint="eastAsia" w:ascii="宋体" w:cs="Times New Roman"/>
          <w:color w:val="auto"/>
          <w:sz w:val="24"/>
          <w:szCs w:val="24"/>
          <w:highlight w:val="none"/>
          <w:lang w:val="en" w:eastAsia="zh-CN"/>
        </w:rPr>
        <w:t>项目执行期间，或将根据实际情况对检测指标进行调整。</w:t>
      </w:r>
    </w:p>
    <w:p w14:paraId="19F5619D">
      <w:pPr>
        <w:snapToGrid w:val="0"/>
        <w:spacing w:line="560" w:lineRule="atLeast"/>
        <w:ind w:firstLine="480" w:firstLineChars="200"/>
        <w:rPr>
          <w:rFonts w:ascii="宋体"/>
          <w:color w:val="auto"/>
          <w:sz w:val="24"/>
          <w:highlight w:val="none"/>
        </w:rPr>
      </w:pPr>
    </w:p>
    <w:p w14:paraId="53581DFB">
      <w:pPr>
        <w:spacing w:line="360" w:lineRule="auto"/>
        <w:rPr>
          <w:color w:val="000000"/>
          <w:sz w:val="24"/>
        </w:rPr>
      </w:pPr>
    </w:p>
    <w:p w14:paraId="7707BEA5">
      <w:pPr>
        <w:pStyle w:val="2"/>
        <w:keepLines/>
        <w:widowControl w:val="0"/>
        <w:spacing w:before="360" w:after="360" w:line="500" w:lineRule="exact"/>
        <w:jc w:val="both"/>
        <w:rPr>
          <w:rFonts w:ascii="宋体" w:eastAsia="宋体"/>
          <w:b/>
          <w:bCs/>
          <w:color w:val="000000"/>
          <w:kern w:val="44"/>
          <w:sz w:val="36"/>
          <w:szCs w:val="36"/>
        </w:rPr>
      </w:pPr>
      <w:r>
        <w:rPr>
          <w:rFonts w:hint="eastAsia" w:ascii="宋体" w:eastAsia="宋体"/>
          <w:b/>
          <w:bCs/>
          <w:color w:val="000000"/>
          <w:kern w:val="44"/>
          <w:sz w:val="44"/>
          <w:szCs w:val="44"/>
        </w:rPr>
        <w:br w:type="page"/>
      </w:r>
      <w:bookmarkStart w:id="61" w:name="_Toc291754369"/>
      <w:r>
        <w:rPr>
          <w:rFonts w:hint="eastAsia" w:ascii="宋体" w:eastAsia="宋体"/>
          <w:b/>
          <w:bCs/>
          <w:color w:val="000000"/>
          <w:kern w:val="44"/>
          <w:sz w:val="36"/>
          <w:szCs w:val="36"/>
        </w:rPr>
        <w:t xml:space="preserve">第五章  </w:t>
      </w:r>
      <w:r>
        <w:rPr>
          <w:rFonts w:hint="eastAsia" w:ascii="宋体" w:eastAsia="宋体"/>
          <w:b/>
          <w:bCs/>
          <w:color w:val="000000"/>
          <w:kern w:val="44"/>
          <w:sz w:val="36"/>
          <w:szCs w:val="36"/>
          <w:lang w:val="en-US" w:eastAsia="zh-CN"/>
        </w:rPr>
        <w:t>大兴区梨园土壤盐渍化防治技术研究与应用</w:t>
      </w:r>
      <w:r>
        <w:rPr>
          <w:rFonts w:hint="eastAsia" w:ascii="宋体" w:eastAsia="宋体"/>
          <w:b/>
          <w:bCs/>
          <w:color w:val="000000"/>
          <w:kern w:val="44"/>
          <w:sz w:val="36"/>
          <w:szCs w:val="36"/>
        </w:rPr>
        <w:t>检测项目</w:t>
      </w:r>
      <w:r>
        <w:rPr>
          <w:rFonts w:hint="eastAsia" w:ascii="宋体" w:eastAsia="宋体"/>
          <w:b/>
          <w:bCs/>
          <w:color w:val="000000"/>
          <w:kern w:val="44"/>
          <w:sz w:val="36"/>
          <w:szCs w:val="36"/>
          <w:lang w:eastAsia="zh-CN"/>
        </w:rPr>
        <w:t>及时服务</w:t>
      </w:r>
      <w:r>
        <w:rPr>
          <w:rFonts w:hint="eastAsia" w:ascii="宋体" w:eastAsia="宋体"/>
          <w:b/>
          <w:bCs/>
          <w:color w:val="000000"/>
          <w:kern w:val="44"/>
          <w:sz w:val="36"/>
          <w:szCs w:val="36"/>
        </w:rPr>
        <w:t>比选响应文件部分格式</w:t>
      </w:r>
      <w:bookmarkEnd w:id="53"/>
      <w:bookmarkEnd w:id="54"/>
      <w:bookmarkEnd w:id="61"/>
      <w:bookmarkStart w:id="62" w:name="_Hlt78253387"/>
      <w:bookmarkEnd w:id="62"/>
      <w:bookmarkStart w:id="63" w:name="_Hlt78253131"/>
      <w:bookmarkEnd w:id="63"/>
      <w:bookmarkStart w:id="64" w:name="_Toc71004838"/>
      <w:bookmarkStart w:id="65" w:name="_Toc72240839"/>
      <w:bookmarkStart w:id="66" w:name="_Toc67852616"/>
    </w:p>
    <w:bookmarkEnd w:id="55"/>
    <w:bookmarkEnd w:id="64"/>
    <w:bookmarkEnd w:id="65"/>
    <w:bookmarkEnd w:id="66"/>
    <w:p w14:paraId="3DE725DC">
      <w:pPr>
        <w:rPr>
          <w:rFonts w:ascii="宋体"/>
          <w:b/>
          <w:color w:val="000000"/>
          <w:spacing w:val="10"/>
          <w:sz w:val="32"/>
          <w:szCs w:val="32"/>
        </w:rPr>
      </w:pPr>
      <w:bookmarkStart w:id="67" w:name="_Hlt78606002"/>
      <w:bookmarkEnd w:id="67"/>
    </w:p>
    <w:p w14:paraId="7A2802E5">
      <w:pPr>
        <w:jc w:val="center"/>
        <w:rPr>
          <w:rFonts w:ascii="ˎ̥" w:hAnsi="ˎ̥" w:cs="Arial"/>
          <w:b/>
          <w:bCs/>
          <w:color w:val="000000"/>
          <w:kern w:val="0"/>
          <w:sz w:val="37"/>
        </w:rPr>
      </w:pPr>
      <w:r>
        <w:rPr>
          <w:rFonts w:hint="eastAsia" w:ascii="宋体"/>
          <w:b/>
          <w:bCs/>
          <w:color w:val="000000"/>
          <w:kern w:val="44"/>
          <w:sz w:val="36"/>
          <w:szCs w:val="36"/>
          <w:lang w:val="en-US" w:eastAsia="zh-CN"/>
        </w:rPr>
        <w:t>大兴区梨园土壤盐渍化防治技术研究与应用</w:t>
      </w:r>
      <w:r>
        <w:rPr>
          <w:rFonts w:hint="eastAsia" w:ascii="宋体"/>
          <w:b/>
          <w:bCs/>
          <w:color w:val="000000"/>
          <w:kern w:val="44"/>
          <w:sz w:val="36"/>
          <w:szCs w:val="36"/>
        </w:rPr>
        <w:t>检测</w:t>
      </w:r>
      <w:r>
        <w:rPr>
          <w:rFonts w:hint="eastAsia" w:ascii="ˎ̥" w:hAnsi="ˎ̥" w:cs="Arial"/>
          <w:b/>
          <w:bCs/>
          <w:color w:val="000000"/>
          <w:kern w:val="0"/>
          <w:sz w:val="37"/>
        </w:rPr>
        <w:t>项目</w:t>
      </w:r>
    </w:p>
    <w:p w14:paraId="0DC0AD96">
      <w:pPr>
        <w:jc w:val="center"/>
        <w:rPr>
          <w:rFonts w:ascii="宋体"/>
          <w:b/>
          <w:color w:val="000000"/>
          <w:spacing w:val="10"/>
          <w:sz w:val="32"/>
          <w:szCs w:val="32"/>
          <w:u w:val="single"/>
        </w:rPr>
      </w:pPr>
      <w:r>
        <w:rPr>
          <w:rFonts w:hint="eastAsia" w:ascii="ˎ̥" w:hAnsi="ˎ̥" w:cs="Arial"/>
          <w:b/>
          <w:bCs/>
          <w:color w:val="auto"/>
          <w:kern w:val="0"/>
          <w:sz w:val="37"/>
          <w:highlight w:val="none"/>
        </w:rPr>
        <w:t>技术服务</w:t>
      </w:r>
      <w:r>
        <w:rPr>
          <w:rFonts w:hint="eastAsia" w:ascii="ˎ̥" w:hAnsi="ˎ̥" w:cs="Arial"/>
          <w:b/>
          <w:bCs/>
          <w:color w:val="000000"/>
          <w:kern w:val="0"/>
          <w:sz w:val="37"/>
        </w:rPr>
        <w:t>采购</w:t>
      </w:r>
    </w:p>
    <w:p w14:paraId="45249D89">
      <w:pPr>
        <w:ind w:firstLine="640"/>
        <w:jc w:val="center"/>
        <w:rPr>
          <w:rFonts w:ascii="宋体"/>
          <w:color w:val="000000"/>
          <w:sz w:val="32"/>
        </w:rPr>
      </w:pPr>
    </w:p>
    <w:p w14:paraId="7D557760">
      <w:pPr>
        <w:ind w:firstLine="640"/>
        <w:jc w:val="center"/>
        <w:rPr>
          <w:rFonts w:ascii="宋体"/>
          <w:color w:val="000000"/>
          <w:sz w:val="32"/>
        </w:rPr>
      </w:pPr>
    </w:p>
    <w:p w14:paraId="37DEECFF">
      <w:pPr>
        <w:ind w:firstLine="640"/>
        <w:jc w:val="center"/>
        <w:rPr>
          <w:rFonts w:ascii="宋体"/>
          <w:color w:val="000000"/>
          <w:sz w:val="32"/>
        </w:rPr>
      </w:pPr>
    </w:p>
    <w:p w14:paraId="309FF20B">
      <w:pPr>
        <w:ind w:firstLine="640"/>
        <w:jc w:val="center"/>
        <w:rPr>
          <w:rFonts w:ascii="宋体"/>
          <w:color w:val="000000"/>
          <w:sz w:val="32"/>
        </w:rPr>
      </w:pPr>
    </w:p>
    <w:p w14:paraId="7A8FF792">
      <w:pPr>
        <w:ind w:firstLine="640"/>
        <w:jc w:val="center"/>
        <w:rPr>
          <w:rFonts w:ascii="宋体"/>
          <w:color w:val="000000"/>
          <w:sz w:val="32"/>
        </w:rPr>
      </w:pPr>
    </w:p>
    <w:p w14:paraId="37B04240">
      <w:pPr>
        <w:ind w:firstLine="640"/>
        <w:jc w:val="center"/>
        <w:rPr>
          <w:rFonts w:ascii="宋体"/>
          <w:color w:val="000000"/>
          <w:sz w:val="32"/>
        </w:rPr>
      </w:pPr>
    </w:p>
    <w:p w14:paraId="7109C9B9">
      <w:pPr>
        <w:spacing w:line="1000" w:lineRule="exact"/>
        <w:ind w:firstLine="198" w:firstLineChars="38"/>
        <w:jc w:val="center"/>
        <w:rPr>
          <w:rFonts w:ascii="宋体"/>
          <w:b/>
          <w:color w:val="000000"/>
          <w:sz w:val="52"/>
          <w:szCs w:val="52"/>
        </w:rPr>
      </w:pPr>
      <w:r>
        <w:rPr>
          <w:rFonts w:hint="eastAsia" w:ascii="宋体"/>
          <w:b/>
          <w:color w:val="000000"/>
          <w:sz w:val="52"/>
          <w:szCs w:val="52"/>
        </w:rPr>
        <w:t>比选响应文件</w:t>
      </w:r>
    </w:p>
    <w:p w14:paraId="23402446">
      <w:pPr>
        <w:ind w:firstLine="560"/>
        <w:rPr>
          <w:rFonts w:ascii="宋体"/>
          <w:color w:val="000000"/>
        </w:rPr>
      </w:pPr>
    </w:p>
    <w:p w14:paraId="0F6391F5">
      <w:pPr>
        <w:ind w:firstLine="560"/>
        <w:rPr>
          <w:rFonts w:ascii="宋体"/>
          <w:color w:val="000000"/>
        </w:rPr>
      </w:pPr>
    </w:p>
    <w:p w14:paraId="7307F25E">
      <w:pPr>
        <w:ind w:firstLine="560"/>
        <w:rPr>
          <w:rFonts w:ascii="宋体"/>
          <w:color w:val="000000"/>
        </w:rPr>
      </w:pPr>
    </w:p>
    <w:p w14:paraId="0CC3110B">
      <w:pPr>
        <w:ind w:firstLine="560"/>
        <w:rPr>
          <w:rFonts w:ascii="宋体"/>
          <w:color w:val="000000"/>
        </w:rPr>
      </w:pPr>
    </w:p>
    <w:p w14:paraId="75FEB2C2">
      <w:pPr>
        <w:ind w:firstLine="560"/>
        <w:jc w:val="center"/>
        <w:rPr>
          <w:rFonts w:ascii="宋体"/>
          <w:color w:val="000000"/>
        </w:rPr>
      </w:pPr>
    </w:p>
    <w:p w14:paraId="24AF240F">
      <w:pPr>
        <w:ind w:firstLine="560"/>
        <w:rPr>
          <w:rFonts w:ascii="宋体"/>
          <w:color w:val="000000"/>
        </w:rPr>
      </w:pPr>
    </w:p>
    <w:p w14:paraId="6E786997">
      <w:pPr>
        <w:ind w:firstLine="560"/>
        <w:rPr>
          <w:rFonts w:ascii="宋体"/>
          <w:color w:val="000000"/>
        </w:rPr>
      </w:pPr>
    </w:p>
    <w:p w14:paraId="63C57C2B">
      <w:pPr>
        <w:ind w:firstLine="560"/>
        <w:rPr>
          <w:rFonts w:ascii="宋体"/>
          <w:color w:val="000000"/>
        </w:rPr>
      </w:pPr>
    </w:p>
    <w:p w14:paraId="6C2362D0">
      <w:pPr>
        <w:ind w:firstLine="560"/>
        <w:rPr>
          <w:rFonts w:ascii="宋体"/>
          <w:color w:val="000000"/>
        </w:rPr>
      </w:pPr>
    </w:p>
    <w:p w14:paraId="5EFB7211">
      <w:pPr>
        <w:ind w:firstLine="560"/>
        <w:rPr>
          <w:rFonts w:ascii="宋体"/>
          <w:color w:val="000000"/>
        </w:rPr>
      </w:pPr>
    </w:p>
    <w:p w14:paraId="0DF6ECEF">
      <w:pPr>
        <w:ind w:firstLine="560"/>
        <w:rPr>
          <w:rFonts w:ascii="宋体"/>
          <w:color w:val="000000"/>
        </w:rPr>
      </w:pPr>
    </w:p>
    <w:p w14:paraId="2F4BF39A">
      <w:pPr>
        <w:ind w:firstLine="560"/>
        <w:rPr>
          <w:rFonts w:ascii="宋体"/>
          <w:color w:val="000000"/>
        </w:rPr>
      </w:pPr>
    </w:p>
    <w:p w14:paraId="332180FD">
      <w:pPr>
        <w:ind w:firstLine="560"/>
        <w:rPr>
          <w:rFonts w:ascii="宋体"/>
          <w:color w:val="000000"/>
        </w:rPr>
      </w:pPr>
    </w:p>
    <w:p w14:paraId="6F699060">
      <w:pPr>
        <w:ind w:firstLine="560"/>
        <w:rPr>
          <w:rFonts w:ascii="宋体"/>
          <w:color w:val="000000"/>
        </w:rPr>
      </w:pPr>
    </w:p>
    <w:p w14:paraId="31501AB5">
      <w:pPr>
        <w:ind w:firstLine="560"/>
        <w:rPr>
          <w:rFonts w:ascii="宋体"/>
          <w:color w:val="000000"/>
          <w:sz w:val="32"/>
          <w:szCs w:val="32"/>
        </w:rPr>
      </w:pPr>
    </w:p>
    <w:p w14:paraId="03AC56BC">
      <w:pPr>
        <w:spacing w:line="360" w:lineRule="auto"/>
        <w:ind w:firstLine="640" w:firstLineChars="200"/>
        <w:rPr>
          <w:rFonts w:ascii="宋体"/>
          <w:color w:val="000000"/>
          <w:sz w:val="32"/>
          <w:szCs w:val="32"/>
        </w:rPr>
      </w:pPr>
      <w:r>
        <w:rPr>
          <w:rFonts w:hint="eastAsia" w:ascii="宋体"/>
          <w:color w:val="000000"/>
          <w:sz w:val="32"/>
          <w:szCs w:val="32"/>
        </w:rPr>
        <w:t>比选申请人：(盖章)</w:t>
      </w:r>
    </w:p>
    <w:p w14:paraId="5CC9F71A">
      <w:pPr>
        <w:spacing w:line="360" w:lineRule="auto"/>
        <w:ind w:firstLine="640" w:firstLineChars="200"/>
        <w:rPr>
          <w:rFonts w:ascii="宋体"/>
          <w:color w:val="000000"/>
          <w:sz w:val="32"/>
          <w:szCs w:val="32"/>
        </w:rPr>
      </w:pPr>
      <w:r>
        <w:rPr>
          <w:rFonts w:hint="eastAsia" w:ascii="宋体"/>
          <w:color w:val="000000"/>
          <w:sz w:val="32"/>
          <w:szCs w:val="32"/>
        </w:rPr>
        <w:t xml:space="preserve">法定代表人或法定代表人授权代理人：(签字或盖章) </w:t>
      </w:r>
    </w:p>
    <w:p w14:paraId="58CE96E2">
      <w:pPr>
        <w:spacing w:line="360" w:lineRule="auto"/>
        <w:rPr>
          <w:rFonts w:ascii="宋体"/>
          <w:color w:val="000000"/>
          <w:sz w:val="32"/>
          <w:szCs w:val="32"/>
        </w:rPr>
      </w:pPr>
      <w:r>
        <w:rPr>
          <w:rFonts w:hint="eastAsia" w:ascii="宋体"/>
          <w:color w:val="000000"/>
          <w:sz w:val="32"/>
          <w:szCs w:val="32"/>
        </w:rPr>
        <w:t xml:space="preserve">    日      期：</w:t>
      </w:r>
      <w:r>
        <w:rPr>
          <w:rFonts w:hint="eastAsia" w:ascii="宋体"/>
          <w:color w:val="000000"/>
          <w:sz w:val="32"/>
          <w:szCs w:val="32"/>
          <w:lang w:val="en-US" w:eastAsia="zh-CN"/>
        </w:rPr>
        <w:t xml:space="preserve">     </w:t>
      </w:r>
      <w:r>
        <w:rPr>
          <w:rFonts w:hint="eastAsia" w:ascii="宋体"/>
          <w:color w:val="000000"/>
          <w:sz w:val="32"/>
          <w:szCs w:val="32"/>
        </w:rPr>
        <w:t>年</w:t>
      </w:r>
      <w:r>
        <w:rPr>
          <w:rFonts w:hint="eastAsia" w:ascii="宋体"/>
          <w:color w:val="000000"/>
          <w:sz w:val="32"/>
          <w:szCs w:val="32"/>
          <w:lang w:val="en-US" w:eastAsia="zh-CN"/>
        </w:rPr>
        <w:t xml:space="preserve">   </w:t>
      </w:r>
      <w:r>
        <w:rPr>
          <w:rFonts w:hint="eastAsia" w:ascii="宋体"/>
          <w:color w:val="000000"/>
          <w:sz w:val="32"/>
          <w:szCs w:val="32"/>
        </w:rPr>
        <w:t>月</w:t>
      </w:r>
      <w:r>
        <w:rPr>
          <w:rFonts w:hint="eastAsia" w:ascii="宋体"/>
          <w:color w:val="000000"/>
          <w:sz w:val="32"/>
          <w:szCs w:val="32"/>
          <w:lang w:val="en-US" w:eastAsia="zh-CN"/>
        </w:rPr>
        <w:t xml:space="preserve">     </w:t>
      </w:r>
      <w:r>
        <w:rPr>
          <w:rFonts w:hint="eastAsia" w:ascii="宋体"/>
          <w:color w:val="000000"/>
          <w:sz w:val="32"/>
          <w:szCs w:val="32"/>
        </w:rPr>
        <w:t>日</w:t>
      </w:r>
    </w:p>
    <w:p w14:paraId="10FB702D">
      <w:pPr>
        <w:ind w:left="840" w:leftChars="400" w:firstLine="600"/>
        <w:rPr>
          <w:rFonts w:ascii="宋体"/>
          <w:color w:val="000000"/>
          <w:sz w:val="30"/>
          <w:szCs w:val="30"/>
        </w:rPr>
      </w:pPr>
    </w:p>
    <w:p w14:paraId="1D2B5A15">
      <w:pPr>
        <w:ind w:left="840" w:leftChars="400" w:firstLine="600"/>
        <w:rPr>
          <w:rFonts w:ascii="宋体"/>
          <w:color w:val="000000"/>
          <w:sz w:val="30"/>
          <w:szCs w:val="30"/>
        </w:rPr>
      </w:pPr>
    </w:p>
    <w:p w14:paraId="337789C9">
      <w:pPr>
        <w:ind w:left="840" w:leftChars="400" w:firstLine="600"/>
        <w:rPr>
          <w:rFonts w:ascii="宋体"/>
          <w:color w:val="000000"/>
          <w:sz w:val="30"/>
          <w:szCs w:val="30"/>
        </w:rPr>
      </w:pPr>
    </w:p>
    <w:p w14:paraId="6872E225">
      <w:pPr>
        <w:ind w:left="840" w:leftChars="400" w:firstLine="600"/>
        <w:rPr>
          <w:rFonts w:ascii="宋体"/>
          <w:color w:val="000000"/>
          <w:sz w:val="30"/>
          <w:szCs w:val="30"/>
        </w:rPr>
      </w:pPr>
    </w:p>
    <w:p w14:paraId="72643920">
      <w:pPr>
        <w:ind w:left="840" w:leftChars="400" w:firstLine="600"/>
        <w:rPr>
          <w:rFonts w:ascii="宋体"/>
          <w:color w:val="000000"/>
          <w:sz w:val="30"/>
          <w:szCs w:val="30"/>
        </w:rPr>
      </w:pPr>
    </w:p>
    <w:p w14:paraId="72179F54">
      <w:pPr>
        <w:pStyle w:val="5"/>
        <w:keepLines w:val="0"/>
        <w:adjustRightInd w:val="0"/>
        <w:spacing w:line="460" w:lineRule="exact"/>
        <w:ind w:left="718" w:hanging="718" w:hangingChars="298"/>
        <w:textAlignment w:val="baseline"/>
        <w:rPr>
          <w:rFonts w:ascii="宋体"/>
          <w:color w:val="000000"/>
          <w:sz w:val="24"/>
          <w:szCs w:val="24"/>
        </w:rPr>
      </w:pPr>
      <w:bookmarkStart w:id="68" w:name="_Toc171909027"/>
      <w:bookmarkStart w:id="69" w:name="_Toc291695263"/>
      <w:bookmarkStart w:id="70" w:name="_Toc200512231"/>
      <w:bookmarkStart w:id="71" w:name="_Toc291754370"/>
      <w:r>
        <w:rPr>
          <w:rFonts w:hint="eastAsia" w:ascii="宋体"/>
          <w:color w:val="000000"/>
          <w:sz w:val="24"/>
          <w:szCs w:val="24"/>
        </w:rPr>
        <w:t>1.参选承诺函</w:t>
      </w:r>
      <w:bookmarkEnd w:id="68"/>
      <w:bookmarkEnd w:id="69"/>
      <w:bookmarkEnd w:id="70"/>
      <w:bookmarkEnd w:id="71"/>
    </w:p>
    <w:p w14:paraId="53D04C96">
      <w:pPr>
        <w:spacing w:line="360" w:lineRule="auto"/>
        <w:jc w:val="center"/>
        <w:rPr>
          <w:rFonts w:ascii="宋体"/>
          <w:b/>
          <w:bCs/>
          <w:color w:val="000000"/>
          <w:spacing w:val="60"/>
          <w:sz w:val="24"/>
        </w:rPr>
      </w:pPr>
      <w:bookmarkStart w:id="72" w:name="_Toc171909028"/>
      <w:bookmarkStart w:id="73" w:name="_Toc140123731"/>
      <w:bookmarkStart w:id="74" w:name="_Toc158279976"/>
      <w:r>
        <w:rPr>
          <w:rFonts w:hint="eastAsia" w:ascii="宋体"/>
          <w:b/>
          <w:bCs/>
          <w:color w:val="000000"/>
          <w:spacing w:val="60"/>
          <w:sz w:val="24"/>
        </w:rPr>
        <w:t>参选承诺函</w:t>
      </w:r>
    </w:p>
    <w:p w14:paraId="58A52C01">
      <w:pPr>
        <w:spacing w:line="360" w:lineRule="auto"/>
        <w:rPr>
          <w:rFonts w:ascii="宋体"/>
          <w:color w:val="000000"/>
          <w:sz w:val="24"/>
          <w:highlight w:val="none"/>
          <w:u w:val="single"/>
        </w:rPr>
      </w:pPr>
      <w:r>
        <w:rPr>
          <w:rFonts w:hint="eastAsia" w:ascii="宋体"/>
          <w:color w:val="000000"/>
          <w:sz w:val="24"/>
        </w:rPr>
        <w:t>致：</w:t>
      </w:r>
    </w:p>
    <w:p w14:paraId="3AC9DEBD">
      <w:pPr>
        <w:pStyle w:val="42"/>
        <w:numPr>
          <w:ilvl w:val="0"/>
          <w:numId w:val="0"/>
        </w:numPr>
        <w:tabs>
          <w:tab w:val="left" w:pos="0"/>
        </w:tabs>
        <w:snapToGrid/>
        <w:ind w:firstLine="528" w:firstLineChars="200"/>
        <w:rPr>
          <w:rFonts w:hint="default" w:ascii="宋体" w:eastAsia="宋体"/>
          <w:sz w:val="24"/>
          <w:lang w:val="en-US" w:eastAsia="zh-CN"/>
        </w:rPr>
      </w:pPr>
      <w:r>
        <w:rPr>
          <w:rFonts w:hint="eastAsia"/>
          <w:color w:val="000000"/>
          <w:sz w:val="24"/>
          <w:highlight w:val="none"/>
        </w:rPr>
        <w:t>1、经分析研究了贵单位提供的本项目技术服务采购比选文件中的有关规定、补充通知书（如有）及技术资料，报价为</w:t>
      </w:r>
      <w:r>
        <w:rPr>
          <w:rFonts w:hint="eastAsia"/>
          <w:color w:val="000000"/>
          <w:sz w:val="24"/>
          <w:highlight w:val="none"/>
          <w:lang w:val="en-US" w:eastAsia="zh-CN"/>
        </w:rPr>
        <w:t xml:space="preserve">     </w:t>
      </w:r>
      <w:r>
        <w:rPr>
          <w:rFonts w:hint="eastAsia"/>
          <w:color w:val="000000"/>
          <w:sz w:val="24"/>
          <w:highlight w:val="none"/>
        </w:rPr>
        <w:t>。服务周期从合同签订之日起至2</w:t>
      </w:r>
      <w:r>
        <w:rPr>
          <w:color w:val="000000"/>
          <w:sz w:val="24"/>
          <w:highlight w:val="none"/>
        </w:rPr>
        <w:t>02</w:t>
      </w:r>
      <w:r>
        <w:rPr>
          <w:rFonts w:hint="eastAsia"/>
          <w:color w:val="000000"/>
          <w:sz w:val="24"/>
          <w:highlight w:val="none"/>
          <w:lang w:val="en-US" w:eastAsia="zh-CN"/>
        </w:rPr>
        <w:t>6</w:t>
      </w:r>
      <w:r>
        <w:rPr>
          <w:rFonts w:hint="eastAsia"/>
          <w:color w:val="000000"/>
          <w:sz w:val="24"/>
          <w:highlight w:val="none"/>
        </w:rPr>
        <w:t>年</w:t>
      </w:r>
      <w:r>
        <w:rPr>
          <w:rFonts w:hint="eastAsia"/>
          <w:color w:val="000000"/>
          <w:sz w:val="24"/>
          <w:highlight w:val="none"/>
          <w:lang w:val="en-US" w:eastAsia="zh-CN"/>
        </w:rPr>
        <w:t>11</w:t>
      </w:r>
      <w:r>
        <w:rPr>
          <w:rFonts w:hint="eastAsia"/>
          <w:color w:val="000000"/>
          <w:sz w:val="24"/>
          <w:highlight w:val="none"/>
        </w:rPr>
        <w:t>月3</w:t>
      </w:r>
      <w:r>
        <w:rPr>
          <w:rFonts w:hint="eastAsia"/>
          <w:color w:val="000000"/>
          <w:sz w:val="24"/>
          <w:highlight w:val="none"/>
          <w:lang w:val="en-US" w:eastAsia="zh-CN"/>
        </w:rPr>
        <w:t>0</w:t>
      </w:r>
      <w:r>
        <w:rPr>
          <w:rFonts w:hint="eastAsia"/>
          <w:color w:val="000000"/>
          <w:sz w:val="24"/>
          <w:highlight w:val="none"/>
        </w:rPr>
        <w:t>日。本项目</w:t>
      </w:r>
      <w:r>
        <w:rPr>
          <w:rFonts w:hint="eastAsia"/>
          <w:color w:val="000000"/>
          <w:sz w:val="24"/>
          <w:highlight w:val="none"/>
          <w:lang w:val="en-US" w:eastAsia="zh-CN"/>
        </w:rPr>
        <w:t>1.完成草种筛选：对不同施肥模式下不同盐渍化风险果园进行土壤基础理化指标检测、草种生物量及碳氮含量等指标监测检测，综合分析，筛选出不同盐渍化风险土壤园区适宜草种和种植密度；2.对果园修剪废弃物堆肥化处理后的指标进行检测，满足畜禽粪便堆肥技术规范（NY/T3442-2019）限量指标要求，同时测定堆肥氯离子质量分数、全盐含量，用于评价堆肥产物盐分情况；3.对筛选确定的处理进行土壤、果品测试，植物多样性、草种生物量监测结果综合分析并得出适宜不同施肥模式和不同盐渍化风险等级梨园适宜草种及匹配的优化施肥方案，并撰写大兴区梨园生草技术研究与应用评价报告和指导技术手册。</w:t>
      </w:r>
    </w:p>
    <w:p w14:paraId="29F96BB7">
      <w:pPr>
        <w:pStyle w:val="42"/>
        <w:numPr>
          <w:ilvl w:val="0"/>
          <w:numId w:val="0"/>
        </w:numPr>
        <w:tabs>
          <w:tab w:val="left" w:pos="0"/>
        </w:tabs>
        <w:snapToGrid/>
        <w:ind w:firstLine="528"/>
        <w:rPr>
          <w:color w:val="000000"/>
          <w:sz w:val="24"/>
        </w:rPr>
      </w:pPr>
      <w:r>
        <w:rPr>
          <w:rFonts w:hint="eastAsia"/>
          <w:color w:val="000000"/>
          <w:sz w:val="24"/>
        </w:rPr>
        <w:t>2、我公司同意在从规定的递交比选响应文件截止之日起</w:t>
      </w:r>
      <w:r>
        <w:rPr>
          <w:rFonts w:hint="eastAsia"/>
          <w:color w:val="000000"/>
          <w:sz w:val="24"/>
          <w:lang w:val="en-US" w:eastAsia="zh-CN"/>
        </w:rPr>
        <w:t>431</w:t>
      </w:r>
      <w:r>
        <w:rPr>
          <w:rFonts w:hint="eastAsia"/>
          <w:color w:val="000000"/>
          <w:sz w:val="24"/>
        </w:rPr>
        <w:t>天内严格遵守本比选响应文件的各项承诺，在该期限满之前，本比选响应文件对我公司始终有约束力。</w:t>
      </w:r>
    </w:p>
    <w:p w14:paraId="2DC6E17E">
      <w:pPr>
        <w:spacing w:line="360" w:lineRule="auto"/>
        <w:ind w:firstLine="570"/>
        <w:rPr>
          <w:color w:val="000000"/>
          <w:sz w:val="24"/>
        </w:rPr>
      </w:pPr>
      <w:r>
        <w:rPr>
          <w:rFonts w:hint="eastAsia"/>
          <w:color w:val="000000"/>
          <w:sz w:val="24"/>
        </w:rPr>
        <w:t>3、在正式合同制定和签署之前，本比选响应文件连同贵单位的中选通知书应为约束贵、我双方的合同文件。</w:t>
      </w:r>
    </w:p>
    <w:p w14:paraId="2EB1B325">
      <w:pPr>
        <w:spacing w:line="360" w:lineRule="auto"/>
        <w:ind w:firstLine="570"/>
        <w:rPr>
          <w:color w:val="000000"/>
          <w:sz w:val="24"/>
        </w:rPr>
      </w:pPr>
      <w:r>
        <w:rPr>
          <w:rFonts w:hint="eastAsia"/>
          <w:color w:val="000000"/>
          <w:sz w:val="24"/>
        </w:rPr>
        <w:t>4、我们理解，业主不一定接受最低报价的比选响应文件或者业主接到的其他任何比选响应文件。同时也理解，业主不负担我们的任何费用。</w:t>
      </w:r>
    </w:p>
    <w:p w14:paraId="1332B3C0">
      <w:pPr>
        <w:spacing w:line="360" w:lineRule="auto"/>
        <w:ind w:firstLine="570"/>
        <w:rPr>
          <w:color w:val="000000"/>
          <w:sz w:val="24"/>
        </w:rPr>
      </w:pPr>
      <w:r>
        <w:rPr>
          <w:rFonts w:hint="eastAsia"/>
          <w:color w:val="000000"/>
          <w:sz w:val="24"/>
        </w:rPr>
        <w:t>5、本比选申请人同时声明，本比选响应文件一经递交，比选响应文件的归属权为北京市大兴区园林绿化局所有。</w:t>
      </w:r>
    </w:p>
    <w:p w14:paraId="64EF662B">
      <w:pPr>
        <w:spacing w:line="360" w:lineRule="auto"/>
        <w:ind w:firstLine="0"/>
        <w:rPr>
          <w:rFonts w:ascii="宋体"/>
          <w:color w:val="000000"/>
          <w:sz w:val="24"/>
        </w:rPr>
      </w:pPr>
    </w:p>
    <w:p w14:paraId="127B74DF">
      <w:pPr>
        <w:spacing w:line="360" w:lineRule="auto"/>
        <w:ind w:firstLine="480"/>
        <w:rPr>
          <w:rFonts w:ascii="宋体"/>
          <w:color w:val="000000"/>
          <w:sz w:val="24"/>
        </w:rPr>
      </w:pPr>
      <w:r>
        <w:rPr>
          <w:rFonts w:hint="eastAsia" w:ascii="宋体"/>
          <w:color w:val="000000"/>
          <w:sz w:val="24"/>
        </w:rPr>
        <w:t>比选申请人：(盖章)</w:t>
      </w:r>
    </w:p>
    <w:p w14:paraId="12D4E9FB">
      <w:pPr>
        <w:spacing w:line="360" w:lineRule="auto"/>
        <w:ind w:firstLine="480"/>
        <w:rPr>
          <w:rFonts w:ascii="宋体"/>
          <w:color w:val="000000"/>
          <w:sz w:val="24"/>
        </w:rPr>
      </w:pPr>
      <w:r>
        <w:rPr>
          <w:rFonts w:hint="eastAsia" w:ascii="宋体"/>
          <w:color w:val="000000"/>
          <w:sz w:val="24"/>
        </w:rPr>
        <w:t xml:space="preserve">法定代表人或被授权代理人：(签字或盖章) </w:t>
      </w:r>
    </w:p>
    <w:p w14:paraId="40AB6A60">
      <w:pPr>
        <w:pStyle w:val="5"/>
        <w:keepLines w:val="0"/>
        <w:adjustRightInd w:val="0"/>
        <w:spacing w:line="600" w:lineRule="exact"/>
        <w:ind w:left="715" w:hanging="715" w:hangingChars="298"/>
        <w:textAlignment w:val="baseline"/>
        <w:rPr>
          <w:rFonts w:ascii="宋体"/>
          <w:color w:val="000000"/>
          <w:sz w:val="24"/>
          <w:szCs w:val="24"/>
        </w:rPr>
      </w:pPr>
      <w:bookmarkStart w:id="75" w:name="_Toc291695264"/>
      <w:bookmarkStart w:id="76" w:name="_Toc291754371"/>
      <w:r>
        <w:rPr>
          <w:rFonts w:hint="eastAsia" w:ascii="宋体"/>
          <w:b w:val="0"/>
          <w:color w:val="000000"/>
          <w:sz w:val="24"/>
        </w:rPr>
        <w:t>日  期：</w:t>
      </w:r>
      <w:r>
        <w:rPr>
          <w:rFonts w:hint="eastAsia" w:ascii="宋体"/>
          <w:b w:val="0"/>
          <w:color w:val="000000"/>
          <w:sz w:val="24"/>
          <w:lang w:val="en-US" w:eastAsia="zh-CN"/>
        </w:rPr>
        <w:t xml:space="preserve">    </w:t>
      </w:r>
      <w:r>
        <w:rPr>
          <w:rFonts w:hint="eastAsia" w:ascii="宋体"/>
          <w:b w:val="0"/>
          <w:color w:val="000000"/>
          <w:sz w:val="24"/>
        </w:rPr>
        <w:t>年</w:t>
      </w:r>
      <w:r>
        <w:rPr>
          <w:rFonts w:hint="eastAsia" w:ascii="宋体"/>
          <w:b w:val="0"/>
          <w:color w:val="000000"/>
          <w:sz w:val="24"/>
          <w:lang w:val="en-US" w:eastAsia="zh-CN"/>
        </w:rPr>
        <w:t xml:space="preserve">    </w:t>
      </w:r>
      <w:r>
        <w:rPr>
          <w:rFonts w:hint="eastAsia" w:ascii="宋体"/>
          <w:b w:val="0"/>
          <w:color w:val="000000"/>
          <w:sz w:val="24"/>
        </w:rPr>
        <w:t>月</w:t>
      </w:r>
      <w:r>
        <w:rPr>
          <w:rFonts w:hint="eastAsia" w:ascii="宋体"/>
          <w:b w:val="0"/>
          <w:color w:val="000000"/>
          <w:sz w:val="24"/>
          <w:lang w:val="en-US" w:eastAsia="zh-CN"/>
        </w:rPr>
        <w:t xml:space="preserve">     </w:t>
      </w:r>
      <w:r>
        <w:rPr>
          <w:rFonts w:hint="eastAsia" w:ascii="宋体"/>
          <w:b w:val="0"/>
          <w:color w:val="000000"/>
          <w:sz w:val="24"/>
        </w:rPr>
        <w:t>日</w:t>
      </w:r>
      <w:r>
        <w:rPr>
          <w:rFonts w:hint="eastAsia" w:ascii="宋体"/>
          <w:color w:val="000000"/>
          <w:sz w:val="24"/>
          <w:szCs w:val="24"/>
        </w:rPr>
        <w:br w:type="page"/>
      </w:r>
      <w:bookmarkEnd w:id="72"/>
      <w:bookmarkStart w:id="77" w:name="_Toc200512233"/>
      <w:bookmarkStart w:id="78" w:name="_Toc291754372"/>
      <w:bookmarkStart w:id="79" w:name="_Toc291695265"/>
      <w:r>
        <w:rPr>
          <w:rFonts w:hint="eastAsia" w:ascii="宋体"/>
          <w:color w:val="000000"/>
          <w:sz w:val="24"/>
          <w:szCs w:val="24"/>
        </w:rPr>
        <w:t>2.法定代表人资格证明书</w:t>
      </w:r>
      <w:bookmarkEnd w:id="75"/>
      <w:bookmarkEnd w:id="76"/>
      <w:bookmarkEnd w:id="77"/>
      <w:bookmarkEnd w:id="78"/>
      <w:bookmarkEnd w:id="79"/>
    </w:p>
    <w:p w14:paraId="5BB3F46B">
      <w:pPr>
        <w:rPr>
          <w:rFonts w:ascii="宋体"/>
          <w:color w:val="000000"/>
          <w:sz w:val="24"/>
          <w:szCs w:val="28"/>
        </w:rPr>
      </w:pPr>
    </w:p>
    <w:p w14:paraId="66984347">
      <w:pPr>
        <w:spacing w:line="700" w:lineRule="exact"/>
        <w:ind w:firstLine="562"/>
        <w:jc w:val="center"/>
        <w:rPr>
          <w:rFonts w:ascii="宋体"/>
          <w:b/>
          <w:bCs/>
          <w:color w:val="000000"/>
          <w:sz w:val="36"/>
          <w:szCs w:val="36"/>
        </w:rPr>
      </w:pPr>
      <w:bookmarkStart w:id="80" w:name="_Toc164827651"/>
      <w:r>
        <w:rPr>
          <w:rFonts w:hint="eastAsia" w:ascii="宋体"/>
          <w:b/>
          <w:bCs/>
          <w:color w:val="000000"/>
          <w:sz w:val="36"/>
          <w:szCs w:val="36"/>
        </w:rPr>
        <w:t>法定代表人资格证明书</w:t>
      </w:r>
      <w:bookmarkEnd w:id="80"/>
    </w:p>
    <w:p w14:paraId="263C4F1E">
      <w:pPr>
        <w:spacing w:line="700" w:lineRule="exact"/>
        <w:ind w:firstLine="562"/>
        <w:rPr>
          <w:rFonts w:ascii="宋体"/>
          <w:b/>
          <w:bCs/>
          <w:color w:val="000000"/>
        </w:rPr>
      </w:pPr>
    </w:p>
    <w:p w14:paraId="6BC2D842">
      <w:pPr>
        <w:spacing w:line="480" w:lineRule="auto"/>
        <w:ind w:firstLine="480"/>
        <w:rPr>
          <w:rFonts w:ascii="宋体"/>
          <w:color w:val="000000"/>
          <w:sz w:val="24"/>
          <w:u w:val="single"/>
        </w:rPr>
      </w:pPr>
      <w:r>
        <w:rPr>
          <w:rFonts w:hint="eastAsia" w:ascii="宋体"/>
          <w:color w:val="000000"/>
          <w:sz w:val="24"/>
        </w:rPr>
        <w:t>单位名称：</w:t>
      </w:r>
    </w:p>
    <w:p w14:paraId="134863AF">
      <w:pPr>
        <w:spacing w:line="480" w:lineRule="auto"/>
        <w:ind w:firstLine="480"/>
        <w:rPr>
          <w:rFonts w:ascii="宋体"/>
          <w:color w:val="000000"/>
          <w:sz w:val="24"/>
          <w:u w:val="single"/>
        </w:rPr>
      </w:pPr>
      <w:r>
        <w:rPr>
          <w:rFonts w:hint="eastAsia" w:ascii="宋体"/>
          <w:color w:val="000000"/>
          <w:sz w:val="24"/>
        </w:rPr>
        <w:t>地    址：</w:t>
      </w:r>
    </w:p>
    <w:p w14:paraId="474E1514">
      <w:pPr>
        <w:spacing w:line="480" w:lineRule="auto"/>
        <w:ind w:firstLine="480"/>
        <w:rPr>
          <w:rFonts w:ascii="宋体"/>
          <w:color w:val="000000"/>
          <w:sz w:val="24"/>
          <w:u w:val="single"/>
        </w:rPr>
      </w:pPr>
      <w:r>
        <w:rPr>
          <w:rFonts w:hint="eastAsia" w:ascii="宋体"/>
          <w:color w:val="000000"/>
          <w:sz w:val="24"/>
        </w:rPr>
        <w:t>姓    名：  性别：  年龄：  职务：</w:t>
      </w:r>
    </w:p>
    <w:p w14:paraId="1477D638">
      <w:pPr>
        <w:spacing w:line="480" w:lineRule="auto"/>
        <w:ind w:firstLine="480"/>
        <w:rPr>
          <w:rFonts w:ascii="宋体"/>
          <w:color w:val="000000"/>
          <w:sz w:val="24"/>
        </w:rPr>
      </w:pPr>
      <w:r>
        <w:rPr>
          <w:rFonts w:hint="eastAsia" w:ascii="宋体"/>
          <w:color w:val="000000"/>
          <w:sz w:val="24"/>
        </w:rPr>
        <w:t>系的法定代表人。</w:t>
      </w:r>
    </w:p>
    <w:p w14:paraId="399AED8F">
      <w:pPr>
        <w:spacing w:line="480" w:lineRule="auto"/>
        <w:ind w:firstLine="480"/>
        <w:rPr>
          <w:rFonts w:ascii="宋体"/>
          <w:color w:val="000000"/>
          <w:sz w:val="24"/>
        </w:rPr>
      </w:pPr>
      <w:r>
        <w:rPr>
          <w:rFonts w:hint="eastAsia" w:ascii="宋体"/>
          <w:color w:val="000000"/>
          <w:sz w:val="24"/>
        </w:rPr>
        <w:t>特此证明。</w:t>
      </w:r>
    </w:p>
    <w:p w14:paraId="42DDA0F4">
      <w:pPr>
        <w:spacing w:line="480" w:lineRule="auto"/>
        <w:ind w:firstLine="480"/>
        <w:rPr>
          <w:rFonts w:ascii="宋体"/>
          <w:color w:val="000000"/>
          <w:sz w:val="24"/>
        </w:rPr>
      </w:pPr>
    </w:p>
    <w:p w14:paraId="6DF1C89C">
      <w:pPr>
        <w:spacing w:line="480" w:lineRule="auto"/>
        <w:ind w:firstLine="480"/>
        <w:rPr>
          <w:rFonts w:ascii="宋体"/>
          <w:color w:val="000000"/>
          <w:sz w:val="24"/>
        </w:rPr>
      </w:pPr>
    </w:p>
    <w:p w14:paraId="1313E49D">
      <w:pPr>
        <w:spacing w:line="480" w:lineRule="auto"/>
        <w:ind w:firstLine="480"/>
        <w:rPr>
          <w:rFonts w:ascii="宋体"/>
          <w:color w:val="000000"/>
          <w:sz w:val="24"/>
          <w:u w:val="single"/>
        </w:rPr>
      </w:pPr>
      <w:r>
        <w:rPr>
          <w:rFonts w:hint="eastAsia" w:ascii="宋体"/>
          <w:color w:val="000000"/>
          <w:sz w:val="24"/>
        </w:rPr>
        <w:t>比选申请人：（盖章)</w:t>
      </w:r>
    </w:p>
    <w:p w14:paraId="19CFC397">
      <w:pPr>
        <w:spacing w:line="480" w:lineRule="auto"/>
        <w:ind w:firstLine="480"/>
        <w:rPr>
          <w:rFonts w:ascii="宋体"/>
          <w:color w:val="000000"/>
          <w:sz w:val="24"/>
        </w:rPr>
      </w:pPr>
    </w:p>
    <w:p w14:paraId="093EB52D">
      <w:pPr>
        <w:spacing w:line="480" w:lineRule="auto"/>
        <w:ind w:firstLine="480"/>
        <w:rPr>
          <w:rFonts w:ascii="宋体"/>
          <w:color w:val="000000"/>
          <w:sz w:val="24"/>
        </w:rPr>
      </w:pPr>
      <w:r>
        <w:rPr>
          <w:rFonts w:hint="eastAsia" w:ascii="宋体"/>
          <w:color w:val="000000"/>
          <w:sz w:val="24"/>
        </w:rPr>
        <w:t>日    期：</w:t>
      </w:r>
      <w:r>
        <w:rPr>
          <w:rFonts w:hint="eastAsia" w:ascii="宋体"/>
          <w:color w:val="000000"/>
          <w:sz w:val="24"/>
          <w:lang w:val="en-US" w:eastAsia="zh-CN"/>
        </w:rPr>
        <w:t xml:space="preserve">     </w:t>
      </w:r>
      <w:r>
        <w:rPr>
          <w:rFonts w:hint="eastAsia" w:ascii="宋体"/>
          <w:color w:val="000000"/>
          <w:sz w:val="24"/>
        </w:rPr>
        <w:t>年</w:t>
      </w:r>
      <w:r>
        <w:rPr>
          <w:rFonts w:hint="eastAsia" w:ascii="宋体"/>
          <w:color w:val="000000"/>
          <w:sz w:val="24"/>
          <w:lang w:val="en-US" w:eastAsia="zh-CN"/>
        </w:rPr>
        <w:t xml:space="preserve">     </w:t>
      </w:r>
      <w:r>
        <w:rPr>
          <w:rFonts w:hint="eastAsia" w:ascii="宋体"/>
          <w:color w:val="000000"/>
          <w:sz w:val="24"/>
        </w:rPr>
        <w:t>月</w:t>
      </w:r>
      <w:r>
        <w:rPr>
          <w:rFonts w:hint="eastAsia" w:ascii="宋体"/>
          <w:color w:val="000000"/>
          <w:sz w:val="24"/>
          <w:lang w:val="en-US" w:eastAsia="zh-CN"/>
        </w:rPr>
        <w:t xml:space="preserve">     </w:t>
      </w:r>
      <w:r>
        <w:rPr>
          <w:rFonts w:hint="eastAsia" w:ascii="宋体"/>
          <w:color w:val="000000"/>
          <w:sz w:val="24"/>
        </w:rPr>
        <w:t xml:space="preserve">日      </w:t>
      </w:r>
    </w:p>
    <w:p w14:paraId="30DA0CB0">
      <w:pPr>
        <w:spacing w:line="620" w:lineRule="exact"/>
        <w:ind w:firstLine="560"/>
        <w:rPr>
          <w:rFonts w:ascii="宋体"/>
          <w:color w:val="000000"/>
        </w:rPr>
      </w:pPr>
    </w:p>
    <w:p w14:paraId="0253798C">
      <w:pPr>
        <w:spacing w:line="620" w:lineRule="exact"/>
        <w:ind w:firstLine="560"/>
        <w:rPr>
          <w:rFonts w:ascii="宋体"/>
          <w:color w:val="000000"/>
        </w:rPr>
      </w:pPr>
    </w:p>
    <w:p w14:paraId="65AA4279">
      <w:pPr>
        <w:spacing w:line="620" w:lineRule="exact"/>
        <w:ind w:firstLine="560"/>
        <w:rPr>
          <w:rFonts w:ascii="宋体"/>
          <w:color w:val="000000"/>
        </w:rPr>
      </w:pPr>
    </w:p>
    <w:p w14:paraId="38D09825">
      <w:pPr>
        <w:ind w:firstLine="560"/>
        <w:rPr>
          <w:rFonts w:ascii="宋体"/>
          <w:color w:val="000000"/>
        </w:rPr>
      </w:pPr>
    </w:p>
    <w:p w14:paraId="27A7835F">
      <w:pPr>
        <w:ind w:firstLine="24" w:firstLineChars="10"/>
        <w:rPr>
          <w:rFonts w:ascii="宋体"/>
          <w:color w:val="000000"/>
          <w:sz w:val="24"/>
        </w:rPr>
      </w:pPr>
    </w:p>
    <w:p w14:paraId="7A976884">
      <w:pPr>
        <w:ind w:firstLine="24" w:firstLineChars="10"/>
        <w:rPr>
          <w:rFonts w:ascii="宋体"/>
          <w:color w:val="000000"/>
          <w:sz w:val="24"/>
        </w:rPr>
      </w:pPr>
    </w:p>
    <w:p w14:paraId="0F64C3A3">
      <w:pPr>
        <w:ind w:firstLine="24" w:firstLineChars="10"/>
        <w:rPr>
          <w:rFonts w:ascii="宋体"/>
          <w:color w:val="000000"/>
          <w:sz w:val="24"/>
        </w:rPr>
      </w:pPr>
    </w:p>
    <w:p w14:paraId="471D66F3">
      <w:pPr>
        <w:ind w:firstLine="24" w:firstLineChars="10"/>
        <w:rPr>
          <w:rFonts w:ascii="宋体"/>
          <w:color w:val="000000"/>
          <w:sz w:val="24"/>
        </w:rPr>
      </w:pPr>
    </w:p>
    <w:p w14:paraId="27227EB5">
      <w:pPr>
        <w:ind w:firstLine="24" w:firstLineChars="10"/>
        <w:rPr>
          <w:rFonts w:ascii="宋体"/>
          <w:color w:val="000000"/>
          <w:sz w:val="24"/>
        </w:rPr>
      </w:pPr>
    </w:p>
    <w:p w14:paraId="770315FB">
      <w:pPr>
        <w:spacing w:line="360" w:lineRule="auto"/>
        <w:ind w:firstLine="422" w:firstLineChars="200"/>
        <w:rPr>
          <w:rStyle w:val="58"/>
          <w:color w:val="auto"/>
          <w:sz w:val="24"/>
          <w:u w:val="single"/>
        </w:rPr>
      </w:pPr>
      <w:r>
        <w:rPr>
          <w:rFonts w:hint="eastAsia" w:ascii="宋体"/>
          <w:b/>
          <w:color w:val="000000"/>
          <w:szCs w:val="21"/>
        </w:rPr>
        <w:t>注：请附法定代表人身份证复印件。</w:t>
      </w:r>
    </w:p>
    <w:p w14:paraId="3BD6D523">
      <w:pPr>
        <w:spacing w:line="360" w:lineRule="auto"/>
        <w:ind w:firstLine="480" w:firstLineChars="200"/>
        <w:rPr>
          <w:rStyle w:val="58"/>
          <w:color w:val="auto"/>
          <w:sz w:val="24"/>
          <w:u w:val="single"/>
        </w:rPr>
      </w:pPr>
    </w:p>
    <w:p w14:paraId="17B8F7D6">
      <w:pPr>
        <w:ind w:firstLine="21" w:firstLineChars="10"/>
        <w:rPr>
          <w:rFonts w:ascii="宋体"/>
          <w:b/>
          <w:color w:val="000000"/>
          <w:szCs w:val="21"/>
        </w:rPr>
      </w:pPr>
    </w:p>
    <w:p w14:paraId="24B704BB">
      <w:pPr>
        <w:ind w:firstLine="21" w:firstLineChars="10"/>
        <w:rPr>
          <w:rFonts w:ascii="宋体"/>
          <w:b/>
          <w:color w:val="000000"/>
          <w:szCs w:val="21"/>
        </w:rPr>
      </w:pPr>
    </w:p>
    <w:p w14:paraId="3643E747">
      <w:pPr>
        <w:ind w:firstLine="21" w:firstLineChars="10"/>
        <w:rPr>
          <w:rFonts w:ascii="宋体"/>
          <w:b/>
          <w:color w:val="000000"/>
          <w:szCs w:val="21"/>
        </w:rPr>
      </w:pPr>
    </w:p>
    <w:p w14:paraId="448D8557">
      <w:pPr>
        <w:pStyle w:val="5"/>
        <w:keepLines w:val="0"/>
        <w:adjustRightInd w:val="0"/>
        <w:spacing w:line="600" w:lineRule="exact"/>
        <w:ind w:left="718" w:hanging="718" w:hangingChars="298"/>
        <w:textAlignment w:val="baseline"/>
        <w:rPr>
          <w:rFonts w:ascii="宋体"/>
          <w:color w:val="000000"/>
          <w:sz w:val="24"/>
          <w:szCs w:val="24"/>
        </w:rPr>
      </w:pPr>
      <w:bookmarkStart w:id="81" w:name="_Toc200512234"/>
      <w:bookmarkStart w:id="82" w:name="_Toc291754373"/>
      <w:bookmarkStart w:id="83" w:name="_Toc291695266"/>
      <w:r>
        <w:rPr>
          <w:rFonts w:hint="eastAsia" w:ascii="宋体"/>
          <w:color w:val="000000"/>
          <w:sz w:val="24"/>
          <w:szCs w:val="24"/>
        </w:rPr>
        <w:t>3.法定代表人授权委托书</w:t>
      </w:r>
      <w:bookmarkEnd w:id="81"/>
      <w:bookmarkEnd w:id="82"/>
      <w:bookmarkEnd w:id="83"/>
    </w:p>
    <w:p w14:paraId="2E3F55F4">
      <w:pPr>
        <w:spacing w:line="700" w:lineRule="exact"/>
        <w:jc w:val="center"/>
        <w:rPr>
          <w:rFonts w:ascii="宋体"/>
          <w:b/>
          <w:color w:val="000000"/>
          <w:szCs w:val="21"/>
        </w:rPr>
      </w:pPr>
      <w:bookmarkStart w:id="84" w:name="_Toc164827652"/>
    </w:p>
    <w:p w14:paraId="6FEDA078">
      <w:pPr>
        <w:spacing w:line="700" w:lineRule="exact"/>
        <w:jc w:val="center"/>
        <w:rPr>
          <w:rFonts w:ascii="宋体"/>
          <w:b/>
          <w:bCs/>
          <w:color w:val="000000"/>
          <w:sz w:val="36"/>
          <w:szCs w:val="36"/>
        </w:rPr>
      </w:pPr>
      <w:r>
        <w:rPr>
          <w:rFonts w:hint="eastAsia" w:ascii="宋体"/>
          <w:b/>
          <w:bCs/>
          <w:color w:val="000000"/>
          <w:sz w:val="36"/>
          <w:szCs w:val="36"/>
        </w:rPr>
        <w:t>法定代表人授权委托书</w:t>
      </w:r>
      <w:bookmarkEnd w:id="84"/>
    </w:p>
    <w:p w14:paraId="4418B3CE">
      <w:pPr>
        <w:ind w:firstLine="480"/>
        <w:jc w:val="center"/>
        <w:rPr>
          <w:rFonts w:ascii="宋体"/>
          <w:color w:val="000000"/>
          <w:sz w:val="24"/>
        </w:rPr>
      </w:pPr>
    </w:p>
    <w:p w14:paraId="17B7070F">
      <w:pPr>
        <w:rPr>
          <w:rFonts w:ascii="宋体"/>
          <w:color w:val="000000"/>
          <w:sz w:val="24"/>
        </w:rPr>
      </w:pPr>
    </w:p>
    <w:p w14:paraId="03B9218B">
      <w:pPr>
        <w:rPr>
          <w:rFonts w:ascii="宋体"/>
          <w:color w:val="000000"/>
          <w:sz w:val="24"/>
          <w:u w:val="single"/>
        </w:rPr>
      </w:pPr>
      <w:r>
        <w:rPr>
          <w:rFonts w:hint="eastAsia" w:ascii="宋体"/>
          <w:color w:val="000000"/>
          <w:sz w:val="24"/>
        </w:rPr>
        <w:t>致：</w:t>
      </w:r>
      <w:r>
        <w:rPr>
          <w:rFonts w:hint="eastAsia" w:ascii="宋体"/>
          <w:color w:val="000000"/>
          <w:sz w:val="24"/>
          <w:u w:val="single"/>
        </w:rPr>
        <w:t xml:space="preserve">  (比选人)                                   </w:t>
      </w:r>
    </w:p>
    <w:p w14:paraId="65EB71E0">
      <w:pPr>
        <w:spacing w:line="600" w:lineRule="exact"/>
        <w:ind w:firstLine="480"/>
        <w:rPr>
          <w:rFonts w:ascii="宋体"/>
          <w:color w:val="000000"/>
          <w:sz w:val="24"/>
          <w:u w:val="single"/>
        </w:rPr>
      </w:pPr>
      <w:r>
        <w:rPr>
          <w:rFonts w:hint="eastAsia" w:ascii="宋体"/>
          <w:color w:val="000000"/>
          <w:sz w:val="24"/>
        </w:rPr>
        <w:t xml:space="preserve">本授权书宣告：(比选申请人全称)的(职务)(姓名)合法地代表我单位，授权(比选人或其下属单位全称)的(职务)(姓名)为我单位代理人，该代理人有权在 </w:t>
      </w:r>
    </w:p>
    <w:p w14:paraId="5A82E153">
      <w:pPr>
        <w:spacing w:line="600" w:lineRule="exact"/>
        <w:rPr>
          <w:rFonts w:ascii="宋体"/>
          <w:color w:val="000000"/>
          <w:sz w:val="24"/>
        </w:rPr>
      </w:pPr>
      <w:r>
        <w:rPr>
          <w:rFonts w:hint="eastAsia" w:ascii="宋体"/>
          <w:color w:val="000000"/>
          <w:sz w:val="24"/>
        </w:rPr>
        <w:t>项目的比选活动中，以我单位的名义签署比选函和比选响应文件、与比选人(或业主)协商、签订合同协议以及执行一切与此有关的事项。</w:t>
      </w:r>
    </w:p>
    <w:p w14:paraId="577C71BB">
      <w:pPr>
        <w:ind w:firstLine="480"/>
        <w:rPr>
          <w:rFonts w:ascii="宋体"/>
          <w:color w:val="000000"/>
          <w:sz w:val="24"/>
        </w:rPr>
      </w:pPr>
    </w:p>
    <w:p w14:paraId="531D634B">
      <w:pPr>
        <w:ind w:firstLine="480"/>
        <w:rPr>
          <w:rFonts w:ascii="宋体"/>
          <w:color w:val="000000"/>
          <w:sz w:val="24"/>
        </w:rPr>
      </w:pPr>
    </w:p>
    <w:p w14:paraId="62288FA2">
      <w:pPr>
        <w:spacing w:line="1000" w:lineRule="exact"/>
        <w:ind w:firstLine="480"/>
        <w:rPr>
          <w:rFonts w:ascii="宋体"/>
          <w:color w:val="000000"/>
          <w:sz w:val="24"/>
          <w:u w:val="single"/>
        </w:rPr>
      </w:pPr>
      <w:r>
        <w:rPr>
          <w:rFonts w:hint="eastAsia" w:ascii="宋体"/>
          <w:color w:val="000000"/>
          <w:sz w:val="24"/>
        </w:rPr>
        <w:t>比选申请人：（盖章)</w:t>
      </w:r>
    </w:p>
    <w:p w14:paraId="15340604">
      <w:pPr>
        <w:spacing w:line="1000" w:lineRule="exact"/>
        <w:ind w:firstLine="480"/>
        <w:rPr>
          <w:rFonts w:ascii="宋体"/>
          <w:color w:val="000000"/>
          <w:sz w:val="24"/>
        </w:rPr>
      </w:pPr>
      <w:r>
        <w:rPr>
          <w:rFonts w:hint="eastAsia" w:ascii="宋体"/>
          <w:color w:val="000000"/>
          <w:sz w:val="24"/>
        </w:rPr>
        <w:t>法定代表人： (签字或盖章)</w:t>
      </w:r>
    </w:p>
    <w:p w14:paraId="2DC77A87">
      <w:pPr>
        <w:spacing w:line="1000" w:lineRule="exact"/>
        <w:ind w:firstLine="480"/>
        <w:rPr>
          <w:rFonts w:ascii="宋体"/>
          <w:color w:val="000000"/>
          <w:sz w:val="24"/>
        </w:rPr>
      </w:pPr>
      <w:r>
        <w:rPr>
          <w:rFonts w:hint="eastAsia" w:ascii="宋体"/>
          <w:color w:val="000000"/>
          <w:sz w:val="24"/>
        </w:rPr>
        <w:t xml:space="preserve">被授权的代理人： (签字)           </w:t>
      </w:r>
    </w:p>
    <w:p w14:paraId="1DBC7192">
      <w:pPr>
        <w:spacing w:line="620" w:lineRule="exact"/>
        <w:ind w:firstLine="480"/>
        <w:rPr>
          <w:rFonts w:hint="eastAsia" w:ascii="宋体"/>
          <w:color w:val="000000"/>
          <w:sz w:val="24"/>
        </w:rPr>
      </w:pPr>
    </w:p>
    <w:p w14:paraId="3F3CD883">
      <w:pPr>
        <w:spacing w:line="620" w:lineRule="exact"/>
        <w:ind w:firstLine="480"/>
        <w:rPr>
          <w:rFonts w:ascii="宋体"/>
          <w:color w:val="000000"/>
          <w:sz w:val="24"/>
        </w:rPr>
      </w:pPr>
      <w:r>
        <w:rPr>
          <w:rFonts w:hint="eastAsia" w:ascii="宋体"/>
          <w:color w:val="000000"/>
          <w:sz w:val="24"/>
        </w:rPr>
        <w:t>日    期：</w:t>
      </w:r>
      <w:r>
        <w:rPr>
          <w:rFonts w:hint="eastAsia" w:ascii="宋体"/>
          <w:color w:val="000000"/>
          <w:sz w:val="24"/>
          <w:lang w:val="en-US" w:eastAsia="zh-CN"/>
        </w:rPr>
        <w:t xml:space="preserve">    </w:t>
      </w:r>
      <w:r>
        <w:rPr>
          <w:rFonts w:hint="eastAsia" w:ascii="宋体"/>
          <w:color w:val="000000"/>
          <w:sz w:val="24"/>
        </w:rPr>
        <w:t>年</w:t>
      </w:r>
      <w:r>
        <w:rPr>
          <w:rFonts w:hint="eastAsia" w:ascii="宋体"/>
          <w:color w:val="000000"/>
          <w:sz w:val="24"/>
          <w:lang w:val="en-US" w:eastAsia="zh-CN"/>
        </w:rPr>
        <w:t xml:space="preserve">   </w:t>
      </w:r>
      <w:r>
        <w:rPr>
          <w:rFonts w:hint="eastAsia" w:ascii="宋体"/>
          <w:color w:val="000000"/>
          <w:sz w:val="24"/>
        </w:rPr>
        <w:t>月</w:t>
      </w:r>
      <w:r>
        <w:rPr>
          <w:rFonts w:hint="eastAsia" w:ascii="宋体"/>
          <w:color w:val="000000"/>
          <w:sz w:val="24"/>
          <w:lang w:val="en-US" w:eastAsia="zh-CN"/>
        </w:rPr>
        <w:t xml:space="preserve">    </w:t>
      </w:r>
      <w:r>
        <w:rPr>
          <w:rFonts w:hint="eastAsia" w:ascii="宋体"/>
          <w:color w:val="000000"/>
          <w:sz w:val="24"/>
        </w:rPr>
        <w:t>日</w:t>
      </w:r>
    </w:p>
    <w:p w14:paraId="49A0616C">
      <w:pPr>
        <w:spacing w:before="120"/>
        <w:ind w:left="630" w:leftChars="300" w:firstLine="1680" w:firstLineChars="700"/>
        <w:rPr>
          <w:rFonts w:ascii="宋体"/>
          <w:color w:val="000000"/>
          <w:sz w:val="24"/>
        </w:rPr>
      </w:pPr>
      <w:bookmarkStart w:id="85" w:name="_Toc158279999"/>
    </w:p>
    <w:p w14:paraId="103463DA">
      <w:pPr>
        <w:spacing w:before="120"/>
        <w:ind w:left="630" w:leftChars="300" w:firstLine="1680" w:firstLineChars="700"/>
        <w:rPr>
          <w:rFonts w:ascii="宋体"/>
          <w:color w:val="000000"/>
          <w:sz w:val="24"/>
        </w:rPr>
      </w:pPr>
    </w:p>
    <w:bookmarkEnd w:id="85"/>
    <w:p w14:paraId="61BEA56C">
      <w:pPr>
        <w:ind w:firstLine="21" w:firstLineChars="10"/>
        <w:rPr>
          <w:rFonts w:ascii="宋体"/>
          <w:color w:val="000000"/>
        </w:rPr>
      </w:pPr>
    </w:p>
    <w:p w14:paraId="3F3C2C47">
      <w:pPr>
        <w:ind w:firstLine="21" w:firstLineChars="10"/>
        <w:rPr>
          <w:rFonts w:ascii="宋体"/>
          <w:color w:val="000000"/>
        </w:rPr>
      </w:pPr>
    </w:p>
    <w:p w14:paraId="20A00A87">
      <w:pPr>
        <w:ind w:firstLine="21" w:firstLineChars="10"/>
        <w:rPr>
          <w:rFonts w:ascii="宋体"/>
          <w:b/>
          <w:color w:val="000000"/>
          <w:szCs w:val="21"/>
        </w:rPr>
      </w:pPr>
      <w:r>
        <w:rPr>
          <w:rFonts w:hint="eastAsia" w:ascii="宋体"/>
          <w:b/>
          <w:color w:val="000000"/>
          <w:szCs w:val="21"/>
        </w:rPr>
        <w:t>注：请附被授权人身份证复印件。</w:t>
      </w:r>
    </w:p>
    <w:p w14:paraId="1F2AC24B">
      <w:pPr>
        <w:ind w:firstLine="21" w:firstLineChars="10"/>
        <w:rPr>
          <w:rFonts w:ascii="宋体"/>
          <w:b/>
          <w:color w:val="000000"/>
          <w:szCs w:val="21"/>
        </w:rPr>
      </w:pPr>
    </w:p>
    <w:p w14:paraId="77BBA66C">
      <w:pPr>
        <w:ind w:firstLine="21" w:firstLineChars="10"/>
        <w:rPr>
          <w:rFonts w:ascii="宋体"/>
          <w:b/>
          <w:color w:val="000000"/>
          <w:szCs w:val="21"/>
        </w:rPr>
      </w:pPr>
    </w:p>
    <w:p w14:paraId="396EBFB4">
      <w:pPr>
        <w:ind w:firstLine="21" w:firstLineChars="10"/>
        <w:rPr>
          <w:rFonts w:ascii="宋体"/>
          <w:b/>
          <w:color w:val="000000"/>
          <w:szCs w:val="21"/>
        </w:rPr>
      </w:pPr>
    </w:p>
    <w:p w14:paraId="2F6EFF5D">
      <w:pPr>
        <w:ind w:firstLine="21" w:firstLineChars="10"/>
        <w:rPr>
          <w:rFonts w:ascii="宋体"/>
          <w:b/>
          <w:color w:val="000000"/>
          <w:szCs w:val="21"/>
        </w:rPr>
      </w:pPr>
    </w:p>
    <w:p w14:paraId="3E7C6DBC">
      <w:pPr>
        <w:ind w:firstLine="21" w:firstLineChars="10"/>
        <w:rPr>
          <w:rFonts w:ascii="宋体"/>
          <w:b/>
          <w:color w:val="000000"/>
          <w:szCs w:val="21"/>
        </w:rPr>
      </w:pPr>
    </w:p>
    <w:p w14:paraId="6644FE7F">
      <w:pPr>
        <w:ind w:firstLine="21" w:firstLineChars="10"/>
        <w:rPr>
          <w:rFonts w:ascii="宋体"/>
          <w:b/>
          <w:color w:val="000000"/>
          <w:szCs w:val="21"/>
        </w:rPr>
      </w:pPr>
    </w:p>
    <w:p w14:paraId="2F24ABFA">
      <w:pPr>
        <w:ind w:firstLine="21" w:firstLineChars="10"/>
        <w:rPr>
          <w:rFonts w:ascii="宋体"/>
          <w:b/>
          <w:color w:val="000000"/>
          <w:szCs w:val="21"/>
        </w:rPr>
      </w:pPr>
    </w:p>
    <w:p w14:paraId="521798AA">
      <w:pPr>
        <w:ind w:firstLine="21" w:firstLineChars="10"/>
        <w:rPr>
          <w:rFonts w:ascii="宋体"/>
          <w:b/>
          <w:color w:val="000000"/>
          <w:szCs w:val="21"/>
        </w:rPr>
      </w:pPr>
    </w:p>
    <w:p w14:paraId="699EECC9">
      <w:pPr>
        <w:ind w:firstLine="21" w:firstLineChars="10"/>
        <w:rPr>
          <w:rFonts w:hint="eastAsia" w:ascii="宋体"/>
          <w:b/>
          <w:color w:val="000000"/>
          <w:szCs w:val="21"/>
        </w:rPr>
      </w:pPr>
    </w:p>
    <w:p w14:paraId="4CE209D6">
      <w:pPr>
        <w:ind w:firstLine="21" w:firstLineChars="10"/>
        <w:rPr>
          <w:rFonts w:ascii="宋体"/>
          <w:b/>
          <w:color w:val="000000"/>
          <w:szCs w:val="21"/>
        </w:rPr>
      </w:pPr>
    </w:p>
    <w:bookmarkEnd w:id="73"/>
    <w:bookmarkEnd w:id="74"/>
    <w:p w14:paraId="0197985A">
      <w:pPr>
        <w:pStyle w:val="38"/>
        <w:spacing w:after="240" w:afterAutospacing="0"/>
        <w:jc w:val="center"/>
        <w:outlineLvl w:val="1"/>
        <w:rPr>
          <w:rFonts w:hint="default" w:ascii="Arial" w:hAnsi="Arial" w:eastAsia="宋体" w:cs="Arial"/>
          <w:b/>
          <w:sz w:val="28"/>
          <w:szCs w:val="28"/>
          <w:lang w:val="en-US" w:eastAsia="zh-CN"/>
        </w:rPr>
      </w:pPr>
      <w:bookmarkStart w:id="86" w:name="_Toc158279985"/>
      <w:bookmarkStart w:id="87" w:name="_Toc140123732"/>
      <w:r>
        <w:rPr>
          <w:rFonts w:hint="eastAsia" w:ascii="Arial" w:hAnsi="Arial" w:cs="Arial"/>
          <w:b/>
          <w:sz w:val="28"/>
          <w:szCs w:val="28"/>
          <w:lang w:val="en-US" w:eastAsia="zh-CN"/>
        </w:rPr>
        <w:t>4.报价单</w:t>
      </w:r>
    </w:p>
    <w:p w14:paraId="6DE49138">
      <w:pPr>
        <w:pStyle w:val="38"/>
        <w:spacing w:after="240" w:afterAutospacing="0"/>
        <w:jc w:val="center"/>
        <w:outlineLvl w:val="1"/>
        <w:rPr>
          <w:rFonts w:hint="eastAsia" w:ascii="Arial" w:hAnsi="Arial" w:cs="Arial"/>
          <w:b/>
          <w:sz w:val="28"/>
          <w:szCs w:val="28"/>
        </w:rPr>
      </w:pPr>
    </w:p>
    <w:p w14:paraId="0EAFE6C8">
      <w:pPr>
        <w:pStyle w:val="38"/>
        <w:spacing w:after="240" w:afterAutospacing="0"/>
        <w:jc w:val="center"/>
        <w:outlineLvl w:val="1"/>
        <w:rPr>
          <w:rFonts w:hint="eastAsia" w:ascii="Arial" w:hAnsi="Arial" w:cs="Arial"/>
          <w:b/>
          <w:sz w:val="28"/>
          <w:szCs w:val="28"/>
        </w:rPr>
      </w:pPr>
    </w:p>
    <w:p w14:paraId="10A64A7D">
      <w:pPr>
        <w:pStyle w:val="38"/>
        <w:spacing w:after="240" w:afterAutospacing="0"/>
        <w:jc w:val="center"/>
        <w:outlineLvl w:val="1"/>
        <w:rPr>
          <w:rFonts w:hint="eastAsia" w:ascii="Arial" w:hAnsi="Arial" w:cs="Arial"/>
          <w:b/>
          <w:sz w:val="28"/>
          <w:szCs w:val="28"/>
        </w:rPr>
      </w:pPr>
    </w:p>
    <w:p w14:paraId="0FB6C703">
      <w:pPr>
        <w:pStyle w:val="38"/>
        <w:spacing w:after="240" w:afterAutospacing="0"/>
        <w:jc w:val="center"/>
        <w:outlineLvl w:val="1"/>
        <w:rPr>
          <w:rFonts w:hint="eastAsia" w:ascii="Arial" w:hAnsi="Arial" w:cs="Arial"/>
          <w:b/>
          <w:sz w:val="28"/>
          <w:szCs w:val="28"/>
        </w:rPr>
      </w:pPr>
    </w:p>
    <w:p w14:paraId="227C2E3B">
      <w:pPr>
        <w:pStyle w:val="38"/>
        <w:spacing w:after="240" w:afterAutospacing="0"/>
        <w:jc w:val="center"/>
        <w:outlineLvl w:val="1"/>
        <w:rPr>
          <w:rFonts w:hint="eastAsia" w:ascii="Arial" w:hAnsi="Arial" w:cs="Arial"/>
          <w:b/>
          <w:sz w:val="28"/>
          <w:szCs w:val="28"/>
        </w:rPr>
      </w:pPr>
    </w:p>
    <w:p w14:paraId="5E74A983">
      <w:pPr>
        <w:pStyle w:val="38"/>
        <w:spacing w:after="240" w:afterAutospacing="0"/>
        <w:jc w:val="center"/>
        <w:outlineLvl w:val="1"/>
        <w:rPr>
          <w:rFonts w:hint="eastAsia" w:ascii="Arial" w:hAnsi="Arial" w:cs="Arial"/>
          <w:b/>
          <w:sz w:val="28"/>
          <w:szCs w:val="28"/>
        </w:rPr>
      </w:pPr>
    </w:p>
    <w:p w14:paraId="16B64054">
      <w:pPr>
        <w:pStyle w:val="38"/>
        <w:spacing w:after="240" w:afterAutospacing="0"/>
        <w:jc w:val="center"/>
        <w:outlineLvl w:val="1"/>
        <w:rPr>
          <w:rFonts w:hint="eastAsia" w:ascii="Arial" w:hAnsi="Arial" w:cs="Arial"/>
          <w:b/>
          <w:sz w:val="28"/>
          <w:szCs w:val="28"/>
        </w:rPr>
      </w:pPr>
    </w:p>
    <w:p w14:paraId="478FBA3B">
      <w:pPr>
        <w:pStyle w:val="38"/>
        <w:spacing w:after="240" w:afterAutospacing="0"/>
        <w:jc w:val="center"/>
        <w:outlineLvl w:val="1"/>
        <w:rPr>
          <w:rFonts w:hint="eastAsia" w:ascii="Arial" w:hAnsi="Arial" w:cs="Arial"/>
          <w:b/>
          <w:sz w:val="28"/>
          <w:szCs w:val="28"/>
        </w:rPr>
      </w:pPr>
    </w:p>
    <w:p w14:paraId="59133EFE">
      <w:pPr>
        <w:pStyle w:val="38"/>
        <w:spacing w:after="240" w:afterAutospacing="0"/>
        <w:jc w:val="center"/>
        <w:outlineLvl w:val="1"/>
        <w:rPr>
          <w:rFonts w:hint="eastAsia" w:ascii="Arial" w:hAnsi="Arial" w:cs="Arial"/>
          <w:b/>
          <w:sz w:val="28"/>
          <w:szCs w:val="28"/>
        </w:rPr>
      </w:pPr>
    </w:p>
    <w:p w14:paraId="3FB9EFE7">
      <w:pPr>
        <w:pStyle w:val="38"/>
        <w:spacing w:after="240" w:afterAutospacing="0"/>
        <w:jc w:val="center"/>
        <w:outlineLvl w:val="1"/>
        <w:rPr>
          <w:rFonts w:hint="eastAsia" w:ascii="Arial" w:hAnsi="Arial" w:cs="Arial"/>
          <w:b/>
          <w:sz w:val="28"/>
          <w:szCs w:val="28"/>
        </w:rPr>
      </w:pPr>
    </w:p>
    <w:p w14:paraId="217089DC">
      <w:pPr>
        <w:pStyle w:val="38"/>
        <w:spacing w:after="240" w:afterAutospacing="0"/>
        <w:jc w:val="center"/>
        <w:outlineLvl w:val="1"/>
        <w:rPr>
          <w:rFonts w:hint="eastAsia" w:ascii="Arial" w:hAnsi="Arial" w:cs="Arial"/>
          <w:b/>
          <w:sz w:val="28"/>
          <w:szCs w:val="28"/>
        </w:rPr>
      </w:pPr>
    </w:p>
    <w:p w14:paraId="072B34B6">
      <w:pPr>
        <w:pStyle w:val="38"/>
        <w:spacing w:after="240" w:afterAutospacing="0"/>
        <w:jc w:val="center"/>
        <w:outlineLvl w:val="1"/>
        <w:rPr>
          <w:rFonts w:hint="eastAsia" w:ascii="Arial" w:hAnsi="Arial" w:cs="Arial"/>
          <w:b/>
          <w:sz w:val="28"/>
          <w:szCs w:val="28"/>
        </w:rPr>
      </w:pPr>
    </w:p>
    <w:p w14:paraId="7E955C48">
      <w:pPr>
        <w:pStyle w:val="38"/>
        <w:spacing w:after="240" w:afterAutospacing="0"/>
        <w:jc w:val="center"/>
        <w:outlineLvl w:val="1"/>
        <w:rPr>
          <w:rFonts w:hint="eastAsia" w:ascii="Arial" w:hAnsi="Arial" w:cs="Arial"/>
          <w:b/>
          <w:sz w:val="28"/>
          <w:szCs w:val="28"/>
        </w:rPr>
      </w:pPr>
    </w:p>
    <w:p w14:paraId="14591FCA">
      <w:pPr>
        <w:pStyle w:val="38"/>
        <w:spacing w:after="240" w:afterAutospacing="0"/>
        <w:jc w:val="center"/>
        <w:outlineLvl w:val="1"/>
        <w:rPr>
          <w:rFonts w:hint="eastAsia" w:ascii="Arial" w:hAnsi="Arial" w:cs="Arial"/>
          <w:b/>
          <w:sz w:val="28"/>
          <w:szCs w:val="28"/>
        </w:rPr>
      </w:pPr>
    </w:p>
    <w:p w14:paraId="7E08C0B8">
      <w:pPr>
        <w:pStyle w:val="38"/>
        <w:spacing w:after="240" w:afterAutospacing="0"/>
        <w:jc w:val="center"/>
        <w:outlineLvl w:val="1"/>
        <w:rPr>
          <w:rFonts w:hint="eastAsia" w:ascii="Arial" w:hAnsi="Arial" w:cs="Arial"/>
          <w:b/>
          <w:sz w:val="28"/>
          <w:szCs w:val="28"/>
        </w:rPr>
      </w:pPr>
    </w:p>
    <w:p w14:paraId="7B022411">
      <w:pPr>
        <w:pStyle w:val="38"/>
        <w:spacing w:after="240" w:afterAutospacing="0"/>
        <w:jc w:val="center"/>
        <w:outlineLvl w:val="1"/>
        <w:rPr>
          <w:rFonts w:hint="eastAsia" w:ascii="Arial" w:hAnsi="Arial" w:cs="Arial"/>
          <w:b/>
          <w:sz w:val="28"/>
          <w:szCs w:val="28"/>
        </w:rPr>
      </w:pPr>
    </w:p>
    <w:p w14:paraId="0ACC76D3">
      <w:pPr>
        <w:pStyle w:val="38"/>
        <w:spacing w:after="240" w:afterAutospacing="0"/>
        <w:jc w:val="center"/>
        <w:outlineLvl w:val="1"/>
        <w:rPr>
          <w:rFonts w:hint="eastAsia" w:ascii="Arial" w:hAnsi="Arial" w:cs="Arial"/>
          <w:b/>
          <w:sz w:val="28"/>
          <w:szCs w:val="28"/>
        </w:rPr>
      </w:pPr>
    </w:p>
    <w:p w14:paraId="266F9D66">
      <w:pPr>
        <w:pStyle w:val="38"/>
        <w:spacing w:after="240" w:afterAutospacing="0"/>
        <w:jc w:val="center"/>
        <w:outlineLvl w:val="1"/>
        <w:rPr>
          <w:rFonts w:hint="eastAsia" w:ascii="Arial" w:hAnsi="Arial" w:cs="Arial"/>
          <w:b/>
          <w:sz w:val="28"/>
          <w:szCs w:val="28"/>
        </w:rPr>
      </w:pPr>
    </w:p>
    <w:p w14:paraId="7A990365">
      <w:pPr>
        <w:pStyle w:val="38"/>
        <w:spacing w:after="240" w:afterAutospacing="0"/>
        <w:jc w:val="center"/>
        <w:outlineLvl w:val="1"/>
        <w:rPr>
          <w:rFonts w:hint="eastAsia" w:ascii="Arial" w:hAnsi="Arial" w:cs="Arial"/>
          <w:b/>
          <w:sz w:val="28"/>
          <w:szCs w:val="28"/>
        </w:rPr>
      </w:pPr>
    </w:p>
    <w:p w14:paraId="2F885E68">
      <w:pPr>
        <w:pStyle w:val="38"/>
        <w:spacing w:after="240" w:afterAutospacing="0"/>
        <w:jc w:val="center"/>
        <w:outlineLvl w:val="1"/>
        <w:rPr>
          <w:rFonts w:hint="eastAsia" w:ascii="Arial" w:hAnsi="Arial" w:cs="Arial"/>
          <w:b/>
          <w:sz w:val="28"/>
          <w:szCs w:val="28"/>
        </w:rPr>
      </w:pPr>
    </w:p>
    <w:p w14:paraId="21BD6F0C">
      <w:pPr>
        <w:pStyle w:val="38"/>
        <w:spacing w:after="240" w:afterAutospacing="0"/>
        <w:jc w:val="center"/>
        <w:outlineLvl w:val="1"/>
        <w:rPr>
          <w:rFonts w:hint="eastAsia" w:ascii="Arial" w:hAnsi="Arial" w:cs="Arial"/>
          <w:b/>
          <w:sz w:val="28"/>
          <w:szCs w:val="28"/>
        </w:rPr>
      </w:pPr>
    </w:p>
    <w:p w14:paraId="2C0C324B">
      <w:pPr>
        <w:pStyle w:val="38"/>
        <w:spacing w:after="240" w:afterAutospacing="0"/>
        <w:jc w:val="center"/>
        <w:outlineLvl w:val="1"/>
        <w:rPr>
          <w:rFonts w:hint="eastAsia" w:ascii="Arial" w:hAnsi="Arial" w:cs="Arial"/>
          <w:b/>
          <w:sz w:val="28"/>
          <w:szCs w:val="28"/>
        </w:rPr>
      </w:pPr>
    </w:p>
    <w:p w14:paraId="64B8A55D">
      <w:pPr>
        <w:pStyle w:val="38"/>
        <w:spacing w:after="240" w:afterAutospacing="0"/>
        <w:jc w:val="center"/>
        <w:outlineLvl w:val="1"/>
        <w:rPr>
          <w:rFonts w:hint="eastAsia" w:ascii="Arial" w:hAnsi="Arial" w:cs="Arial"/>
          <w:b/>
          <w:sz w:val="28"/>
          <w:szCs w:val="28"/>
        </w:rPr>
      </w:pPr>
    </w:p>
    <w:p w14:paraId="1D7CFF69">
      <w:pPr>
        <w:pStyle w:val="38"/>
        <w:spacing w:after="240" w:afterAutospacing="0"/>
        <w:jc w:val="center"/>
        <w:outlineLvl w:val="1"/>
        <w:rPr>
          <w:rFonts w:ascii="Arial" w:hAnsi="Arial" w:cs="Arial"/>
          <w:b/>
          <w:sz w:val="28"/>
          <w:szCs w:val="28"/>
        </w:rPr>
      </w:pPr>
      <w:r>
        <w:rPr>
          <w:rFonts w:hint="eastAsia" w:ascii="Arial" w:hAnsi="Arial" w:cs="Arial"/>
          <w:b/>
          <w:sz w:val="28"/>
          <w:szCs w:val="28"/>
          <w:lang w:val="en-US" w:eastAsia="zh-CN"/>
        </w:rPr>
        <w:t>5</w:t>
      </w:r>
      <w:r>
        <w:rPr>
          <w:rFonts w:hint="eastAsia" w:ascii="Arial" w:hAnsi="Arial" w:cs="Arial"/>
          <w:b/>
          <w:sz w:val="28"/>
          <w:szCs w:val="28"/>
        </w:rPr>
        <w:t>.主要人员</w:t>
      </w:r>
    </w:p>
    <w:p w14:paraId="7C8ADBA4">
      <w:pPr>
        <w:pStyle w:val="38"/>
        <w:spacing w:after="240" w:afterAutospacing="0"/>
        <w:jc w:val="center"/>
        <w:outlineLvl w:val="1"/>
        <w:rPr>
          <w:rFonts w:ascii="Arial" w:hAnsi="Arial" w:cs="Arial"/>
          <w:b/>
          <w:sz w:val="28"/>
          <w:szCs w:val="28"/>
        </w:rPr>
      </w:pPr>
      <w:bookmarkStart w:id="88" w:name="_Toc247614917"/>
      <w:r>
        <w:rPr>
          <w:rFonts w:hint="eastAsia" w:ascii="Arial" w:hAnsi="Arial" w:cs="Arial"/>
          <w:b/>
          <w:sz w:val="28"/>
          <w:szCs w:val="28"/>
          <w:lang w:val="en-US" w:eastAsia="zh-CN"/>
        </w:rPr>
        <w:t>5</w:t>
      </w:r>
      <w:r>
        <w:rPr>
          <w:rFonts w:hint="eastAsia" w:ascii="Arial" w:hAnsi="Arial" w:cs="Arial"/>
          <w:b/>
          <w:sz w:val="28"/>
          <w:szCs w:val="28"/>
        </w:rPr>
        <w:t>、</w:t>
      </w:r>
      <w:r>
        <w:rPr>
          <w:rFonts w:ascii="Arial" w:hAnsi="Arial" w:cs="Arial"/>
          <w:b/>
          <w:sz w:val="28"/>
          <w:szCs w:val="28"/>
        </w:rPr>
        <w:t>拟派驻本项目</w:t>
      </w:r>
      <w:r>
        <w:rPr>
          <w:rFonts w:hint="eastAsia" w:ascii="Arial" w:hAnsi="Arial" w:cs="Arial"/>
          <w:b/>
          <w:sz w:val="28"/>
          <w:szCs w:val="28"/>
        </w:rPr>
        <w:t>工作</w:t>
      </w:r>
      <w:r>
        <w:rPr>
          <w:rFonts w:ascii="Arial" w:hAnsi="Arial" w:cs="Arial"/>
          <w:b/>
          <w:sz w:val="28"/>
          <w:szCs w:val="28"/>
        </w:rPr>
        <w:t>人员一览表格式</w:t>
      </w:r>
      <w:bookmarkEnd w:id="88"/>
    </w:p>
    <w:p w14:paraId="1FACC8F1">
      <w:pPr>
        <w:rPr>
          <w:rFonts w:ascii="Arial" w:hAnsi="Arial" w:cs="Arial"/>
          <w:sz w:val="24"/>
        </w:rPr>
      </w:pPr>
    </w:p>
    <w:tbl>
      <w:tblPr>
        <w:tblStyle w:val="43"/>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260"/>
        <w:gridCol w:w="945"/>
        <w:gridCol w:w="945"/>
        <w:gridCol w:w="915"/>
        <w:gridCol w:w="1140"/>
        <w:gridCol w:w="1440"/>
        <w:gridCol w:w="1800"/>
      </w:tblGrid>
      <w:tr w14:paraId="3514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58" w:type="dxa"/>
          </w:tcPr>
          <w:p w14:paraId="55FE38BB">
            <w:pPr>
              <w:rPr>
                <w:rFonts w:ascii="Arial" w:hAnsi="Arial" w:cs="Arial"/>
                <w:sz w:val="24"/>
              </w:rPr>
            </w:pPr>
            <w:r>
              <w:rPr>
                <w:rFonts w:ascii="Arial" w:hAnsi="Arial" w:cs="Arial"/>
                <w:sz w:val="24"/>
              </w:rPr>
              <w:t>序号</w:t>
            </w:r>
          </w:p>
        </w:tc>
        <w:tc>
          <w:tcPr>
            <w:tcW w:w="1260" w:type="dxa"/>
          </w:tcPr>
          <w:p w14:paraId="6CF36534">
            <w:pPr>
              <w:rPr>
                <w:rFonts w:ascii="Arial" w:hAnsi="Arial" w:cs="Arial"/>
                <w:sz w:val="24"/>
              </w:rPr>
            </w:pPr>
            <w:r>
              <w:rPr>
                <w:rFonts w:ascii="Arial" w:hAnsi="Arial" w:cs="Arial"/>
                <w:sz w:val="24"/>
              </w:rPr>
              <w:t>姓名</w:t>
            </w:r>
          </w:p>
        </w:tc>
        <w:tc>
          <w:tcPr>
            <w:tcW w:w="945" w:type="dxa"/>
          </w:tcPr>
          <w:p w14:paraId="41CEA114">
            <w:pPr>
              <w:rPr>
                <w:rFonts w:ascii="Arial" w:hAnsi="Arial" w:cs="Arial"/>
                <w:sz w:val="24"/>
              </w:rPr>
            </w:pPr>
            <w:r>
              <w:rPr>
                <w:rFonts w:ascii="Arial" w:hAnsi="Arial" w:cs="Arial"/>
                <w:sz w:val="24"/>
              </w:rPr>
              <w:t>性别</w:t>
            </w:r>
          </w:p>
        </w:tc>
        <w:tc>
          <w:tcPr>
            <w:tcW w:w="945" w:type="dxa"/>
          </w:tcPr>
          <w:p w14:paraId="50BCBEE4">
            <w:pPr>
              <w:rPr>
                <w:rFonts w:ascii="Arial" w:hAnsi="Arial" w:cs="Arial"/>
                <w:sz w:val="24"/>
              </w:rPr>
            </w:pPr>
            <w:r>
              <w:rPr>
                <w:rFonts w:ascii="Arial" w:hAnsi="Arial" w:cs="Arial"/>
                <w:sz w:val="24"/>
              </w:rPr>
              <w:t>年龄</w:t>
            </w:r>
          </w:p>
        </w:tc>
        <w:tc>
          <w:tcPr>
            <w:tcW w:w="915" w:type="dxa"/>
          </w:tcPr>
          <w:p w14:paraId="0F947535">
            <w:pPr>
              <w:rPr>
                <w:rFonts w:ascii="Arial" w:hAnsi="Arial" w:cs="Arial"/>
                <w:sz w:val="24"/>
              </w:rPr>
            </w:pPr>
            <w:r>
              <w:rPr>
                <w:rFonts w:ascii="Arial" w:hAnsi="Arial" w:cs="Arial"/>
                <w:sz w:val="24"/>
              </w:rPr>
              <w:t>职称</w:t>
            </w:r>
          </w:p>
        </w:tc>
        <w:tc>
          <w:tcPr>
            <w:tcW w:w="1140" w:type="dxa"/>
          </w:tcPr>
          <w:p w14:paraId="59AA8F1F">
            <w:pPr>
              <w:rPr>
                <w:rFonts w:ascii="Arial" w:hAnsi="Arial" w:cs="Arial"/>
                <w:sz w:val="24"/>
              </w:rPr>
            </w:pPr>
            <w:r>
              <w:rPr>
                <w:rFonts w:ascii="Arial" w:hAnsi="Arial" w:cs="Arial"/>
                <w:sz w:val="24"/>
              </w:rPr>
              <w:t>专业</w:t>
            </w:r>
          </w:p>
        </w:tc>
        <w:tc>
          <w:tcPr>
            <w:tcW w:w="1440" w:type="dxa"/>
          </w:tcPr>
          <w:p w14:paraId="0796C255">
            <w:pPr>
              <w:rPr>
                <w:rFonts w:ascii="Arial" w:hAnsi="Arial" w:cs="Arial"/>
                <w:sz w:val="24"/>
              </w:rPr>
            </w:pPr>
            <w:r>
              <w:rPr>
                <w:rFonts w:ascii="Arial" w:hAnsi="Arial" w:cs="Arial"/>
                <w:sz w:val="24"/>
              </w:rPr>
              <w:t>工作年限</w:t>
            </w:r>
          </w:p>
        </w:tc>
        <w:tc>
          <w:tcPr>
            <w:tcW w:w="1800" w:type="dxa"/>
          </w:tcPr>
          <w:p w14:paraId="6A7FB83B">
            <w:pPr>
              <w:jc w:val="center"/>
              <w:rPr>
                <w:rFonts w:ascii="Arial" w:hAnsi="Arial" w:cs="Arial"/>
                <w:sz w:val="24"/>
              </w:rPr>
            </w:pPr>
            <w:r>
              <w:rPr>
                <w:rFonts w:ascii="Arial" w:hAnsi="Arial" w:cs="Arial"/>
                <w:sz w:val="24"/>
              </w:rPr>
              <w:t>拟担任职务</w:t>
            </w:r>
          </w:p>
        </w:tc>
      </w:tr>
      <w:tr w14:paraId="347A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58" w:type="dxa"/>
          </w:tcPr>
          <w:p w14:paraId="7C5276B5">
            <w:pPr>
              <w:rPr>
                <w:rFonts w:ascii="Arial" w:hAnsi="Arial" w:cs="Arial"/>
                <w:sz w:val="24"/>
              </w:rPr>
            </w:pPr>
          </w:p>
        </w:tc>
        <w:tc>
          <w:tcPr>
            <w:tcW w:w="1260" w:type="dxa"/>
          </w:tcPr>
          <w:p w14:paraId="05593530">
            <w:pPr>
              <w:rPr>
                <w:rFonts w:ascii="Arial" w:hAnsi="Arial" w:cs="Arial"/>
                <w:sz w:val="24"/>
              </w:rPr>
            </w:pPr>
          </w:p>
        </w:tc>
        <w:tc>
          <w:tcPr>
            <w:tcW w:w="945" w:type="dxa"/>
          </w:tcPr>
          <w:p w14:paraId="3F3F821F">
            <w:pPr>
              <w:rPr>
                <w:rFonts w:ascii="Arial" w:hAnsi="Arial" w:cs="Arial"/>
                <w:sz w:val="24"/>
              </w:rPr>
            </w:pPr>
          </w:p>
        </w:tc>
        <w:tc>
          <w:tcPr>
            <w:tcW w:w="945" w:type="dxa"/>
          </w:tcPr>
          <w:p w14:paraId="494FB9F2">
            <w:pPr>
              <w:rPr>
                <w:rFonts w:ascii="Arial" w:hAnsi="Arial" w:cs="Arial"/>
                <w:sz w:val="24"/>
              </w:rPr>
            </w:pPr>
          </w:p>
        </w:tc>
        <w:tc>
          <w:tcPr>
            <w:tcW w:w="915" w:type="dxa"/>
          </w:tcPr>
          <w:p w14:paraId="721DC797">
            <w:pPr>
              <w:rPr>
                <w:rFonts w:ascii="Arial" w:hAnsi="Arial" w:cs="Arial"/>
                <w:sz w:val="24"/>
              </w:rPr>
            </w:pPr>
          </w:p>
        </w:tc>
        <w:tc>
          <w:tcPr>
            <w:tcW w:w="1140" w:type="dxa"/>
          </w:tcPr>
          <w:p w14:paraId="5FBC4F3B">
            <w:pPr>
              <w:rPr>
                <w:rFonts w:ascii="Arial" w:hAnsi="Arial" w:cs="Arial"/>
                <w:sz w:val="24"/>
              </w:rPr>
            </w:pPr>
          </w:p>
        </w:tc>
        <w:tc>
          <w:tcPr>
            <w:tcW w:w="1440" w:type="dxa"/>
          </w:tcPr>
          <w:p w14:paraId="7BEB669B">
            <w:pPr>
              <w:rPr>
                <w:rFonts w:ascii="Arial" w:hAnsi="Arial" w:cs="Arial"/>
                <w:sz w:val="24"/>
              </w:rPr>
            </w:pPr>
          </w:p>
        </w:tc>
        <w:tc>
          <w:tcPr>
            <w:tcW w:w="1800" w:type="dxa"/>
          </w:tcPr>
          <w:p w14:paraId="3F4F467A">
            <w:pPr>
              <w:rPr>
                <w:rFonts w:ascii="Arial" w:hAnsi="Arial" w:cs="Arial"/>
                <w:sz w:val="24"/>
              </w:rPr>
            </w:pPr>
          </w:p>
        </w:tc>
      </w:tr>
      <w:tr w14:paraId="30AD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58" w:type="dxa"/>
          </w:tcPr>
          <w:p w14:paraId="5E3C5C35">
            <w:pPr>
              <w:rPr>
                <w:rFonts w:ascii="Arial" w:hAnsi="Arial" w:cs="Arial"/>
                <w:sz w:val="24"/>
              </w:rPr>
            </w:pPr>
          </w:p>
        </w:tc>
        <w:tc>
          <w:tcPr>
            <w:tcW w:w="1260" w:type="dxa"/>
          </w:tcPr>
          <w:p w14:paraId="03ED8059">
            <w:pPr>
              <w:rPr>
                <w:rFonts w:ascii="Arial" w:hAnsi="Arial" w:cs="Arial"/>
                <w:sz w:val="24"/>
              </w:rPr>
            </w:pPr>
          </w:p>
        </w:tc>
        <w:tc>
          <w:tcPr>
            <w:tcW w:w="945" w:type="dxa"/>
          </w:tcPr>
          <w:p w14:paraId="79C6153C">
            <w:pPr>
              <w:rPr>
                <w:rFonts w:ascii="Arial" w:hAnsi="Arial" w:cs="Arial"/>
                <w:sz w:val="24"/>
              </w:rPr>
            </w:pPr>
          </w:p>
        </w:tc>
        <w:tc>
          <w:tcPr>
            <w:tcW w:w="945" w:type="dxa"/>
          </w:tcPr>
          <w:p w14:paraId="6E17FD24">
            <w:pPr>
              <w:rPr>
                <w:rFonts w:ascii="Arial" w:hAnsi="Arial" w:cs="Arial"/>
                <w:sz w:val="24"/>
              </w:rPr>
            </w:pPr>
          </w:p>
        </w:tc>
        <w:tc>
          <w:tcPr>
            <w:tcW w:w="915" w:type="dxa"/>
          </w:tcPr>
          <w:p w14:paraId="39F34FC5">
            <w:pPr>
              <w:rPr>
                <w:rFonts w:ascii="Arial" w:hAnsi="Arial" w:cs="Arial"/>
                <w:sz w:val="24"/>
              </w:rPr>
            </w:pPr>
          </w:p>
        </w:tc>
        <w:tc>
          <w:tcPr>
            <w:tcW w:w="1140" w:type="dxa"/>
          </w:tcPr>
          <w:p w14:paraId="01BFE42D">
            <w:pPr>
              <w:rPr>
                <w:rFonts w:ascii="Arial" w:hAnsi="Arial" w:cs="Arial"/>
                <w:sz w:val="24"/>
              </w:rPr>
            </w:pPr>
          </w:p>
        </w:tc>
        <w:tc>
          <w:tcPr>
            <w:tcW w:w="1440" w:type="dxa"/>
          </w:tcPr>
          <w:p w14:paraId="054D8995">
            <w:pPr>
              <w:rPr>
                <w:rFonts w:ascii="Arial" w:hAnsi="Arial" w:cs="Arial"/>
                <w:sz w:val="24"/>
              </w:rPr>
            </w:pPr>
          </w:p>
        </w:tc>
        <w:tc>
          <w:tcPr>
            <w:tcW w:w="1800" w:type="dxa"/>
          </w:tcPr>
          <w:p w14:paraId="5A1AD367">
            <w:pPr>
              <w:rPr>
                <w:rFonts w:ascii="Arial" w:hAnsi="Arial" w:cs="Arial"/>
                <w:sz w:val="24"/>
              </w:rPr>
            </w:pPr>
          </w:p>
        </w:tc>
      </w:tr>
      <w:tr w14:paraId="3609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58" w:type="dxa"/>
          </w:tcPr>
          <w:p w14:paraId="0F76C5C3">
            <w:pPr>
              <w:rPr>
                <w:rFonts w:ascii="Arial" w:hAnsi="Arial" w:cs="Arial"/>
                <w:sz w:val="24"/>
              </w:rPr>
            </w:pPr>
          </w:p>
        </w:tc>
        <w:tc>
          <w:tcPr>
            <w:tcW w:w="1260" w:type="dxa"/>
          </w:tcPr>
          <w:p w14:paraId="3D8E3272">
            <w:pPr>
              <w:rPr>
                <w:rFonts w:ascii="Arial" w:hAnsi="Arial" w:cs="Arial"/>
                <w:sz w:val="24"/>
              </w:rPr>
            </w:pPr>
          </w:p>
        </w:tc>
        <w:tc>
          <w:tcPr>
            <w:tcW w:w="945" w:type="dxa"/>
          </w:tcPr>
          <w:p w14:paraId="3922AA31">
            <w:pPr>
              <w:rPr>
                <w:rFonts w:ascii="Arial" w:hAnsi="Arial" w:cs="Arial"/>
                <w:sz w:val="24"/>
              </w:rPr>
            </w:pPr>
          </w:p>
        </w:tc>
        <w:tc>
          <w:tcPr>
            <w:tcW w:w="945" w:type="dxa"/>
          </w:tcPr>
          <w:p w14:paraId="20EB1A26">
            <w:pPr>
              <w:rPr>
                <w:rFonts w:ascii="Arial" w:hAnsi="Arial" w:cs="Arial"/>
                <w:sz w:val="24"/>
              </w:rPr>
            </w:pPr>
          </w:p>
        </w:tc>
        <w:tc>
          <w:tcPr>
            <w:tcW w:w="915" w:type="dxa"/>
          </w:tcPr>
          <w:p w14:paraId="15A3C22D">
            <w:pPr>
              <w:rPr>
                <w:rFonts w:ascii="Arial" w:hAnsi="Arial" w:cs="Arial"/>
                <w:sz w:val="24"/>
              </w:rPr>
            </w:pPr>
          </w:p>
        </w:tc>
        <w:tc>
          <w:tcPr>
            <w:tcW w:w="1140" w:type="dxa"/>
          </w:tcPr>
          <w:p w14:paraId="5F942011">
            <w:pPr>
              <w:rPr>
                <w:rFonts w:ascii="Arial" w:hAnsi="Arial" w:cs="Arial"/>
                <w:sz w:val="24"/>
              </w:rPr>
            </w:pPr>
          </w:p>
        </w:tc>
        <w:tc>
          <w:tcPr>
            <w:tcW w:w="1440" w:type="dxa"/>
          </w:tcPr>
          <w:p w14:paraId="3662C24B">
            <w:pPr>
              <w:rPr>
                <w:rFonts w:ascii="Arial" w:hAnsi="Arial" w:cs="Arial"/>
                <w:sz w:val="24"/>
              </w:rPr>
            </w:pPr>
          </w:p>
        </w:tc>
        <w:tc>
          <w:tcPr>
            <w:tcW w:w="1800" w:type="dxa"/>
          </w:tcPr>
          <w:p w14:paraId="75F9DA1A">
            <w:pPr>
              <w:rPr>
                <w:rFonts w:ascii="Arial" w:hAnsi="Arial" w:cs="Arial"/>
                <w:sz w:val="24"/>
              </w:rPr>
            </w:pPr>
          </w:p>
        </w:tc>
      </w:tr>
      <w:tr w14:paraId="7044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58" w:type="dxa"/>
          </w:tcPr>
          <w:p w14:paraId="643F0AFE">
            <w:pPr>
              <w:rPr>
                <w:rFonts w:ascii="Arial" w:hAnsi="Arial" w:cs="Arial"/>
                <w:sz w:val="24"/>
              </w:rPr>
            </w:pPr>
          </w:p>
        </w:tc>
        <w:tc>
          <w:tcPr>
            <w:tcW w:w="1260" w:type="dxa"/>
          </w:tcPr>
          <w:p w14:paraId="60DAC7A5">
            <w:pPr>
              <w:rPr>
                <w:rFonts w:ascii="Arial" w:hAnsi="Arial" w:cs="Arial"/>
                <w:sz w:val="24"/>
              </w:rPr>
            </w:pPr>
          </w:p>
        </w:tc>
        <w:tc>
          <w:tcPr>
            <w:tcW w:w="945" w:type="dxa"/>
          </w:tcPr>
          <w:p w14:paraId="4B19AC0E">
            <w:pPr>
              <w:rPr>
                <w:rFonts w:ascii="Arial" w:hAnsi="Arial" w:cs="Arial"/>
                <w:sz w:val="24"/>
              </w:rPr>
            </w:pPr>
          </w:p>
        </w:tc>
        <w:tc>
          <w:tcPr>
            <w:tcW w:w="945" w:type="dxa"/>
          </w:tcPr>
          <w:p w14:paraId="1770EE30">
            <w:pPr>
              <w:rPr>
                <w:rFonts w:ascii="Arial" w:hAnsi="Arial" w:cs="Arial"/>
                <w:sz w:val="24"/>
              </w:rPr>
            </w:pPr>
          </w:p>
        </w:tc>
        <w:tc>
          <w:tcPr>
            <w:tcW w:w="915" w:type="dxa"/>
          </w:tcPr>
          <w:p w14:paraId="29D1D865">
            <w:pPr>
              <w:rPr>
                <w:rFonts w:ascii="Arial" w:hAnsi="Arial" w:cs="Arial"/>
                <w:sz w:val="24"/>
              </w:rPr>
            </w:pPr>
          </w:p>
        </w:tc>
        <w:tc>
          <w:tcPr>
            <w:tcW w:w="1140" w:type="dxa"/>
          </w:tcPr>
          <w:p w14:paraId="6EE4F3CA">
            <w:pPr>
              <w:rPr>
                <w:rFonts w:ascii="Arial" w:hAnsi="Arial" w:cs="Arial"/>
                <w:sz w:val="24"/>
              </w:rPr>
            </w:pPr>
          </w:p>
        </w:tc>
        <w:tc>
          <w:tcPr>
            <w:tcW w:w="1440" w:type="dxa"/>
          </w:tcPr>
          <w:p w14:paraId="3D26FF95">
            <w:pPr>
              <w:rPr>
                <w:rFonts w:ascii="Arial" w:hAnsi="Arial" w:cs="Arial"/>
                <w:sz w:val="24"/>
              </w:rPr>
            </w:pPr>
          </w:p>
        </w:tc>
        <w:tc>
          <w:tcPr>
            <w:tcW w:w="1800" w:type="dxa"/>
          </w:tcPr>
          <w:p w14:paraId="037FC218">
            <w:pPr>
              <w:rPr>
                <w:rFonts w:ascii="Arial" w:hAnsi="Arial" w:cs="Arial"/>
                <w:sz w:val="24"/>
              </w:rPr>
            </w:pPr>
          </w:p>
        </w:tc>
      </w:tr>
      <w:tr w14:paraId="2CD6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58" w:type="dxa"/>
          </w:tcPr>
          <w:p w14:paraId="28812A80">
            <w:pPr>
              <w:rPr>
                <w:rFonts w:ascii="Arial" w:hAnsi="Arial" w:cs="Arial"/>
                <w:sz w:val="24"/>
              </w:rPr>
            </w:pPr>
          </w:p>
        </w:tc>
        <w:tc>
          <w:tcPr>
            <w:tcW w:w="1260" w:type="dxa"/>
          </w:tcPr>
          <w:p w14:paraId="7BE23C3B">
            <w:pPr>
              <w:rPr>
                <w:rFonts w:ascii="Arial" w:hAnsi="Arial" w:cs="Arial"/>
                <w:sz w:val="24"/>
              </w:rPr>
            </w:pPr>
          </w:p>
        </w:tc>
        <w:tc>
          <w:tcPr>
            <w:tcW w:w="945" w:type="dxa"/>
          </w:tcPr>
          <w:p w14:paraId="470FB436">
            <w:pPr>
              <w:rPr>
                <w:rFonts w:ascii="Arial" w:hAnsi="Arial" w:cs="Arial"/>
                <w:sz w:val="24"/>
              </w:rPr>
            </w:pPr>
          </w:p>
        </w:tc>
        <w:tc>
          <w:tcPr>
            <w:tcW w:w="945" w:type="dxa"/>
          </w:tcPr>
          <w:p w14:paraId="701BD1A6">
            <w:pPr>
              <w:rPr>
                <w:rFonts w:ascii="Arial" w:hAnsi="Arial" w:cs="Arial"/>
                <w:sz w:val="24"/>
              </w:rPr>
            </w:pPr>
          </w:p>
        </w:tc>
        <w:tc>
          <w:tcPr>
            <w:tcW w:w="915" w:type="dxa"/>
          </w:tcPr>
          <w:p w14:paraId="32BE3DE4">
            <w:pPr>
              <w:rPr>
                <w:rFonts w:ascii="Arial" w:hAnsi="Arial" w:cs="Arial"/>
                <w:sz w:val="24"/>
              </w:rPr>
            </w:pPr>
          </w:p>
        </w:tc>
        <w:tc>
          <w:tcPr>
            <w:tcW w:w="1140" w:type="dxa"/>
          </w:tcPr>
          <w:p w14:paraId="55C82BE6">
            <w:pPr>
              <w:rPr>
                <w:rFonts w:ascii="Arial" w:hAnsi="Arial" w:cs="Arial"/>
                <w:sz w:val="24"/>
              </w:rPr>
            </w:pPr>
          </w:p>
        </w:tc>
        <w:tc>
          <w:tcPr>
            <w:tcW w:w="1440" w:type="dxa"/>
          </w:tcPr>
          <w:p w14:paraId="64622494">
            <w:pPr>
              <w:rPr>
                <w:rFonts w:ascii="Arial" w:hAnsi="Arial" w:cs="Arial"/>
                <w:sz w:val="24"/>
              </w:rPr>
            </w:pPr>
          </w:p>
        </w:tc>
        <w:tc>
          <w:tcPr>
            <w:tcW w:w="1800" w:type="dxa"/>
          </w:tcPr>
          <w:p w14:paraId="6E6F46A4">
            <w:pPr>
              <w:rPr>
                <w:rFonts w:ascii="Arial" w:hAnsi="Arial" w:cs="Arial"/>
                <w:sz w:val="24"/>
              </w:rPr>
            </w:pPr>
          </w:p>
        </w:tc>
      </w:tr>
      <w:tr w14:paraId="4A25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58" w:type="dxa"/>
          </w:tcPr>
          <w:p w14:paraId="7CDB6F98">
            <w:pPr>
              <w:rPr>
                <w:rFonts w:ascii="Arial" w:hAnsi="Arial" w:cs="Arial"/>
                <w:sz w:val="24"/>
              </w:rPr>
            </w:pPr>
          </w:p>
        </w:tc>
        <w:tc>
          <w:tcPr>
            <w:tcW w:w="1260" w:type="dxa"/>
          </w:tcPr>
          <w:p w14:paraId="3CD7AECC">
            <w:pPr>
              <w:rPr>
                <w:rFonts w:ascii="Arial" w:hAnsi="Arial" w:cs="Arial"/>
                <w:sz w:val="24"/>
              </w:rPr>
            </w:pPr>
          </w:p>
        </w:tc>
        <w:tc>
          <w:tcPr>
            <w:tcW w:w="945" w:type="dxa"/>
          </w:tcPr>
          <w:p w14:paraId="3AE0E604">
            <w:pPr>
              <w:rPr>
                <w:rFonts w:ascii="Arial" w:hAnsi="Arial" w:cs="Arial"/>
                <w:sz w:val="24"/>
              </w:rPr>
            </w:pPr>
          </w:p>
        </w:tc>
        <w:tc>
          <w:tcPr>
            <w:tcW w:w="945" w:type="dxa"/>
          </w:tcPr>
          <w:p w14:paraId="73766D07">
            <w:pPr>
              <w:rPr>
                <w:rFonts w:ascii="Arial" w:hAnsi="Arial" w:cs="Arial"/>
                <w:sz w:val="24"/>
              </w:rPr>
            </w:pPr>
          </w:p>
        </w:tc>
        <w:tc>
          <w:tcPr>
            <w:tcW w:w="915" w:type="dxa"/>
          </w:tcPr>
          <w:p w14:paraId="0614EAE4">
            <w:pPr>
              <w:rPr>
                <w:rFonts w:ascii="Arial" w:hAnsi="Arial" w:cs="Arial"/>
                <w:sz w:val="24"/>
              </w:rPr>
            </w:pPr>
          </w:p>
        </w:tc>
        <w:tc>
          <w:tcPr>
            <w:tcW w:w="1140" w:type="dxa"/>
          </w:tcPr>
          <w:p w14:paraId="7AD1C083">
            <w:pPr>
              <w:rPr>
                <w:rFonts w:ascii="Arial" w:hAnsi="Arial" w:cs="Arial"/>
                <w:sz w:val="24"/>
              </w:rPr>
            </w:pPr>
          </w:p>
        </w:tc>
        <w:tc>
          <w:tcPr>
            <w:tcW w:w="1440" w:type="dxa"/>
          </w:tcPr>
          <w:p w14:paraId="66815F45">
            <w:pPr>
              <w:rPr>
                <w:rFonts w:ascii="Arial" w:hAnsi="Arial" w:cs="Arial"/>
                <w:sz w:val="24"/>
              </w:rPr>
            </w:pPr>
          </w:p>
        </w:tc>
        <w:tc>
          <w:tcPr>
            <w:tcW w:w="1800" w:type="dxa"/>
          </w:tcPr>
          <w:p w14:paraId="37F3E328">
            <w:pPr>
              <w:rPr>
                <w:rFonts w:ascii="Arial" w:hAnsi="Arial" w:cs="Arial"/>
                <w:sz w:val="24"/>
              </w:rPr>
            </w:pPr>
          </w:p>
        </w:tc>
      </w:tr>
      <w:tr w14:paraId="47C5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58" w:type="dxa"/>
          </w:tcPr>
          <w:p w14:paraId="75B80734">
            <w:pPr>
              <w:rPr>
                <w:rFonts w:ascii="Arial" w:hAnsi="Arial" w:cs="Arial"/>
                <w:sz w:val="24"/>
              </w:rPr>
            </w:pPr>
          </w:p>
        </w:tc>
        <w:tc>
          <w:tcPr>
            <w:tcW w:w="1260" w:type="dxa"/>
          </w:tcPr>
          <w:p w14:paraId="23C87E2A">
            <w:pPr>
              <w:rPr>
                <w:rFonts w:ascii="Arial" w:hAnsi="Arial" w:cs="Arial"/>
                <w:sz w:val="24"/>
              </w:rPr>
            </w:pPr>
          </w:p>
        </w:tc>
        <w:tc>
          <w:tcPr>
            <w:tcW w:w="945" w:type="dxa"/>
          </w:tcPr>
          <w:p w14:paraId="4FD82C49">
            <w:pPr>
              <w:rPr>
                <w:rFonts w:ascii="Arial" w:hAnsi="Arial" w:cs="Arial"/>
                <w:sz w:val="24"/>
              </w:rPr>
            </w:pPr>
          </w:p>
        </w:tc>
        <w:tc>
          <w:tcPr>
            <w:tcW w:w="945" w:type="dxa"/>
          </w:tcPr>
          <w:p w14:paraId="1F75E1D8">
            <w:pPr>
              <w:rPr>
                <w:rFonts w:ascii="Arial" w:hAnsi="Arial" w:cs="Arial"/>
                <w:sz w:val="24"/>
              </w:rPr>
            </w:pPr>
          </w:p>
        </w:tc>
        <w:tc>
          <w:tcPr>
            <w:tcW w:w="915" w:type="dxa"/>
          </w:tcPr>
          <w:p w14:paraId="701C3902">
            <w:pPr>
              <w:rPr>
                <w:rFonts w:ascii="Arial" w:hAnsi="Arial" w:cs="Arial"/>
                <w:sz w:val="24"/>
              </w:rPr>
            </w:pPr>
          </w:p>
        </w:tc>
        <w:tc>
          <w:tcPr>
            <w:tcW w:w="1140" w:type="dxa"/>
          </w:tcPr>
          <w:p w14:paraId="02B65FD1">
            <w:pPr>
              <w:rPr>
                <w:rFonts w:ascii="Arial" w:hAnsi="Arial" w:cs="Arial"/>
                <w:sz w:val="24"/>
              </w:rPr>
            </w:pPr>
          </w:p>
        </w:tc>
        <w:tc>
          <w:tcPr>
            <w:tcW w:w="1440" w:type="dxa"/>
          </w:tcPr>
          <w:p w14:paraId="2619EED2">
            <w:pPr>
              <w:rPr>
                <w:rFonts w:ascii="Arial" w:hAnsi="Arial" w:cs="Arial"/>
                <w:sz w:val="24"/>
              </w:rPr>
            </w:pPr>
          </w:p>
        </w:tc>
        <w:tc>
          <w:tcPr>
            <w:tcW w:w="1800" w:type="dxa"/>
          </w:tcPr>
          <w:p w14:paraId="2096421B">
            <w:pPr>
              <w:rPr>
                <w:rFonts w:ascii="Arial" w:hAnsi="Arial" w:cs="Arial"/>
                <w:sz w:val="24"/>
              </w:rPr>
            </w:pPr>
          </w:p>
        </w:tc>
      </w:tr>
      <w:tr w14:paraId="42D8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858" w:type="dxa"/>
          </w:tcPr>
          <w:p w14:paraId="7A82218D">
            <w:pPr>
              <w:rPr>
                <w:rFonts w:ascii="Arial" w:hAnsi="Arial" w:cs="Arial"/>
                <w:sz w:val="24"/>
              </w:rPr>
            </w:pPr>
          </w:p>
        </w:tc>
        <w:tc>
          <w:tcPr>
            <w:tcW w:w="1260" w:type="dxa"/>
          </w:tcPr>
          <w:p w14:paraId="140254E6">
            <w:pPr>
              <w:rPr>
                <w:rFonts w:ascii="Arial" w:hAnsi="Arial" w:cs="Arial"/>
                <w:sz w:val="24"/>
              </w:rPr>
            </w:pPr>
          </w:p>
        </w:tc>
        <w:tc>
          <w:tcPr>
            <w:tcW w:w="945" w:type="dxa"/>
          </w:tcPr>
          <w:p w14:paraId="70A6740B">
            <w:pPr>
              <w:rPr>
                <w:rFonts w:ascii="Arial" w:hAnsi="Arial" w:cs="Arial"/>
                <w:sz w:val="24"/>
              </w:rPr>
            </w:pPr>
          </w:p>
        </w:tc>
        <w:tc>
          <w:tcPr>
            <w:tcW w:w="945" w:type="dxa"/>
          </w:tcPr>
          <w:p w14:paraId="55464816">
            <w:pPr>
              <w:rPr>
                <w:rFonts w:ascii="Arial" w:hAnsi="Arial" w:cs="Arial"/>
                <w:sz w:val="24"/>
              </w:rPr>
            </w:pPr>
          </w:p>
        </w:tc>
        <w:tc>
          <w:tcPr>
            <w:tcW w:w="915" w:type="dxa"/>
          </w:tcPr>
          <w:p w14:paraId="3F44EF19">
            <w:pPr>
              <w:rPr>
                <w:rFonts w:ascii="Arial" w:hAnsi="Arial" w:cs="Arial"/>
                <w:sz w:val="24"/>
              </w:rPr>
            </w:pPr>
          </w:p>
        </w:tc>
        <w:tc>
          <w:tcPr>
            <w:tcW w:w="1140" w:type="dxa"/>
          </w:tcPr>
          <w:p w14:paraId="019E19EF">
            <w:pPr>
              <w:rPr>
                <w:rFonts w:ascii="Arial" w:hAnsi="Arial" w:cs="Arial"/>
                <w:sz w:val="24"/>
              </w:rPr>
            </w:pPr>
          </w:p>
        </w:tc>
        <w:tc>
          <w:tcPr>
            <w:tcW w:w="1440" w:type="dxa"/>
          </w:tcPr>
          <w:p w14:paraId="235537B7">
            <w:pPr>
              <w:rPr>
                <w:rFonts w:ascii="Arial" w:hAnsi="Arial" w:cs="Arial"/>
                <w:sz w:val="24"/>
              </w:rPr>
            </w:pPr>
          </w:p>
        </w:tc>
        <w:tc>
          <w:tcPr>
            <w:tcW w:w="1800" w:type="dxa"/>
          </w:tcPr>
          <w:p w14:paraId="4EE9A86B">
            <w:pPr>
              <w:rPr>
                <w:rFonts w:ascii="Arial" w:hAnsi="Arial" w:cs="Arial"/>
                <w:sz w:val="24"/>
              </w:rPr>
            </w:pPr>
          </w:p>
        </w:tc>
      </w:tr>
    </w:tbl>
    <w:p w14:paraId="253577E6">
      <w:pPr>
        <w:rPr>
          <w:rFonts w:ascii="Arial" w:hAnsi="Arial" w:cs="Arial"/>
          <w:sz w:val="24"/>
        </w:rPr>
      </w:pPr>
    </w:p>
    <w:p w14:paraId="3A3EEAC3">
      <w:pPr>
        <w:pStyle w:val="88"/>
        <w:widowControl w:val="0"/>
        <w:spacing w:line="300" w:lineRule="exact"/>
        <w:ind w:firstLine="480"/>
        <w:jc w:val="both"/>
        <w:rPr>
          <w:bCs/>
          <w:color w:val="000000"/>
          <w:kern w:val="2"/>
          <w:sz w:val="24"/>
          <w:szCs w:val="24"/>
        </w:rPr>
      </w:pPr>
    </w:p>
    <w:bookmarkEnd w:id="86"/>
    <w:bookmarkEnd w:id="87"/>
    <w:p w14:paraId="72780503">
      <w:pPr>
        <w:pStyle w:val="5"/>
        <w:keepLines w:val="0"/>
        <w:adjustRightInd w:val="0"/>
        <w:spacing w:line="460" w:lineRule="exact"/>
        <w:ind w:left="718" w:hanging="718" w:hangingChars="298"/>
        <w:textAlignment w:val="baseline"/>
        <w:rPr>
          <w:rFonts w:ascii="宋体"/>
          <w:color w:val="000000"/>
          <w:sz w:val="24"/>
          <w:szCs w:val="24"/>
        </w:rPr>
      </w:pPr>
      <w:bookmarkStart w:id="89" w:name="_Toc291754374"/>
      <w:bookmarkStart w:id="90" w:name="_Toc291695267"/>
      <w:bookmarkStart w:id="91" w:name="_Toc200512239"/>
      <w:bookmarkStart w:id="92" w:name="_Toc142206551"/>
      <w:bookmarkStart w:id="93" w:name="_Toc121213710"/>
      <w:r>
        <w:rPr>
          <w:rFonts w:hint="eastAsia" w:ascii="宋体"/>
          <w:color w:val="000000"/>
          <w:sz w:val="24"/>
          <w:szCs w:val="24"/>
          <w:lang w:val="en-US" w:eastAsia="zh-CN"/>
        </w:rPr>
        <w:t>6</w:t>
      </w:r>
      <w:r>
        <w:rPr>
          <w:rFonts w:hint="eastAsia" w:ascii="宋体"/>
          <w:color w:val="000000"/>
          <w:sz w:val="24"/>
          <w:szCs w:val="24"/>
        </w:rPr>
        <w:t>.类似项目统计表</w:t>
      </w:r>
      <w:bookmarkEnd w:id="89"/>
      <w:bookmarkEnd w:id="90"/>
      <w:bookmarkEnd w:id="91"/>
    </w:p>
    <w:p w14:paraId="26352586">
      <w:pPr>
        <w:tabs>
          <w:tab w:val="left" w:pos="532"/>
        </w:tabs>
        <w:spacing w:line="360" w:lineRule="auto"/>
        <w:rPr>
          <w:rFonts w:ascii="宋体"/>
          <w:b/>
          <w:bCs/>
          <w:color w:val="000000"/>
          <w:sz w:val="24"/>
        </w:rPr>
      </w:pPr>
    </w:p>
    <w:p w14:paraId="6A02A60D">
      <w:pPr>
        <w:spacing w:line="440" w:lineRule="exact"/>
        <w:jc w:val="center"/>
        <w:rPr>
          <w:rFonts w:ascii="宋体"/>
          <w:b/>
          <w:color w:val="000000"/>
          <w:sz w:val="32"/>
          <w:szCs w:val="32"/>
        </w:rPr>
      </w:pPr>
      <w:bookmarkStart w:id="94" w:name="_Toc164827657"/>
      <w:r>
        <w:rPr>
          <w:rFonts w:hint="eastAsia" w:ascii="宋体"/>
          <w:b/>
          <w:color w:val="000000"/>
          <w:sz w:val="32"/>
          <w:szCs w:val="32"/>
          <w:lang w:val="en-US" w:eastAsia="zh-CN"/>
        </w:rPr>
        <w:t>6</w:t>
      </w:r>
      <w:r>
        <w:rPr>
          <w:rFonts w:hint="eastAsia" w:ascii="宋体"/>
          <w:b/>
          <w:color w:val="000000"/>
          <w:sz w:val="32"/>
          <w:szCs w:val="32"/>
        </w:rPr>
        <w:t>、类似项目统计表</w:t>
      </w:r>
    </w:p>
    <w:p w14:paraId="0B1F8CC6">
      <w:pPr>
        <w:spacing w:line="440" w:lineRule="exact"/>
        <w:rPr>
          <w:rFonts w:ascii="宋体"/>
          <w:color w:val="000000"/>
          <w:sz w:val="24"/>
        </w:rPr>
      </w:pPr>
    </w:p>
    <w:tbl>
      <w:tblPr>
        <w:tblStyle w:val="43"/>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610"/>
        <w:gridCol w:w="2454"/>
        <w:gridCol w:w="1474"/>
        <w:gridCol w:w="1668"/>
        <w:gridCol w:w="2277"/>
      </w:tblGrid>
      <w:tr w14:paraId="11476B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1610" w:type="dxa"/>
            <w:vAlign w:val="center"/>
          </w:tcPr>
          <w:p w14:paraId="1D23E8BB">
            <w:pPr>
              <w:pStyle w:val="110"/>
              <w:spacing w:line="360" w:lineRule="exact"/>
              <w:jc w:val="center"/>
              <w:rPr>
                <w:rFonts w:ascii="宋体"/>
                <w:color w:val="000000"/>
              </w:rPr>
            </w:pPr>
            <w:r>
              <w:rPr>
                <w:rFonts w:hint="eastAsia" w:ascii="宋体"/>
                <w:color w:val="000000"/>
              </w:rPr>
              <w:t>业主名称</w:t>
            </w:r>
          </w:p>
        </w:tc>
        <w:tc>
          <w:tcPr>
            <w:tcW w:w="2454" w:type="dxa"/>
            <w:vAlign w:val="center"/>
          </w:tcPr>
          <w:p w14:paraId="0F7A1CF5">
            <w:pPr>
              <w:pStyle w:val="110"/>
              <w:spacing w:line="360" w:lineRule="exact"/>
              <w:jc w:val="center"/>
              <w:rPr>
                <w:rFonts w:ascii="宋体"/>
                <w:color w:val="000000"/>
              </w:rPr>
            </w:pPr>
            <w:r>
              <w:rPr>
                <w:rFonts w:hint="eastAsia" w:ascii="宋体"/>
                <w:color w:val="000000"/>
              </w:rPr>
              <w:t>项目名称</w:t>
            </w:r>
          </w:p>
        </w:tc>
        <w:tc>
          <w:tcPr>
            <w:tcW w:w="1474" w:type="dxa"/>
            <w:vAlign w:val="center"/>
          </w:tcPr>
          <w:p w14:paraId="58217BE1">
            <w:pPr>
              <w:pStyle w:val="110"/>
              <w:spacing w:line="360" w:lineRule="exact"/>
              <w:jc w:val="center"/>
              <w:rPr>
                <w:rFonts w:ascii="宋体"/>
                <w:color w:val="000000"/>
              </w:rPr>
            </w:pPr>
            <w:r>
              <w:rPr>
                <w:rFonts w:hint="eastAsia" w:ascii="宋体"/>
                <w:color w:val="000000"/>
              </w:rPr>
              <w:t>规模</w:t>
            </w:r>
          </w:p>
        </w:tc>
        <w:tc>
          <w:tcPr>
            <w:tcW w:w="1668" w:type="dxa"/>
            <w:vAlign w:val="center"/>
          </w:tcPr>
          <w:p w14:paraId="2E4225C0">
            <w:pPr>
              <w:jc w:val="center"/>
              <w:rPr>
                <w:rFonts w:ascii="宋体"/>
                <w:color w:val="000000"/>
                <w:sz w:val="24"/>
              </w:rPr>
            </w:pPr>
            <w:r>
              <w:rPr>
                <w:rFonts w:hint="eastAsia" w:ascii="宋体"/>
                <w:color w:val="000000"/>
                <w:sz w:val="24"/>
              </w:rPr>
              <w:t>完成日期</w:t>
            </w:r>
          </w:p>
        </w:tc>
        <w:tc>
          <w:tcPr>
            <w:tcW w:w="2277" w:type="dxa"/>
            <w:vAlign w:val="center"/>
          </w:tcPr>
          <w:p w14:paraId="419A758D">
            <w:pPr>
              <w:jc w:val="center"/>
              <w:rPr>
                <w:rFonts w:ascii="宋体"/>
                <w:color w:val="000000"/>
                <w:sz w:val="24"/>
              </w:rPr>
            </w:pPr>
            <w:r>
              <w:rPr>
                <w:rFonts w:hint="eastAsia" w:ascii="宋体"/>
                <w:color w:val="000000"/>
                <w:sz w:val="24"/>
              </w:rPr>
              <w:t>正在实施或已完</w:t>
            </w:r>
          </w:p>
        </w:tc>
      </w:tr>
      <w:tr w14:paraId="75EBF1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1610" w:type="dxa"/>
          </w:tcPr>
          <w:p w14:paraId="3940C627">
            <w:pPr>
              <w:pStyle w:val="110"/>
              <w:spacing w:line="360" w:lineRule="exact"/>
              <w:rPr>
                <w:rFonts w:ascii="宋体"/>
                <w:color w:val="000000"/>
              </w:rPr>
            </w:pPr>
          </w:p>
        </w:tc>
        <w:tc>
          <w:tcPr>
            <w:tcW w:w="2454" w:type="dxa"/>
          </w:tcPr>
          <w:p w14:paraId="2604CA1A">
            <w:pPr>
              <w:pStyle w:val="110"/>
              <w:spacing w:line="360" w:lineRule="exact"/>
              <w:rPr>
                <w:rFonts w:ascii="宋体"/>
                <w:color w:val="000000"/>
              </w:rPr>
            </w:pPr>
          </w:p>
        </w:tc>
        <w:tc>
          <w:tcPr>
            <w:tcW w:w="1474" w:type="dxa"/>
          </w:tcPr>
          <w:p w14:paraId="7B29B055">
            <w:pPr>
              <w:pStyle w:val="110"/>
              <w:spacing w:line="360" w:lineRule="exact"/>
              <w:rPr>
                <w:rFonts w:ascii="宋体"/>
                <w:color w:val="000000"/>
              </w:rPr>
            </w:pPr>
          </w:p>
        </w:tc>
        <w:tc>
          <w:tcPr>
            <w:tcW w:w="1668" w:type="dxa"/>
          </w:tcPr>
          <w:p w14:paraId="343A3DDC">
            <w:pPr>
              <w:pStyle w:val="110"/>
              <w:spacing w:line="360" w:lineRule="exact"/>
              <w:rPr>
                <w:rFonts w:ascii="宋体"/>
                <w:color w:val="000000"/>
              </w:rPr>
            </w:pPr>
          </w:p>
        </w:tc>
        <w:tc>
          <w:tcPr>
            <w:tcW w:w="2277" w:type="dxa"/>
          </w:tcPr>
          <w:p w14:paraId="19309A6D">
            <w:pPr>
              <w:pStyle w:val="110"/>
              <w:spacing w:line="360" w:lineRule="exact"/>
              <w:rPr>
                <w:rFonts w:ascii="宋体"/>
                <w:color w:val="000000"/>
              </w:rPr>
            </w:pPr>
          </w:p>
        </w:tc>
      </w:tr>
      <w:tr w14:paraId="56F626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1610" w:type="dxa"/>
          </w:tcPr>
          <w:p w14:paraId="2D7A25F0">
            <w:pPr>
              <w:pStyle w:val="110"/>
              <w:spacing w:line="360" w:lineRule="exact"/>
              <w:rPr>
                <w:rFonts w:ascii="宋体"/>
                <w:color w:val="000000"/>
              </w:rPr>
            </w:pPr>
          </w:p>
        </w:tc>
        <w:tc>
          <w:tcPr>
            <w:tcW w:w="2454" w:type="dxa"/>
          </w:tcPr>
          <w:p w14:paraId="10734C60">
            <w:pPr>
              <w:pStyle w:val="110"/>
              <w:spacing w:line="360" w:lineRule="exact"/>
              <w:rPr>
                <w:rFonts w:ascii="宋体"/>
                <w:color w:val="000000"/>
              </w:rPr>
            </w:pPr>
          </w:p>
        </w:tc>
        <w:tc>
          <w:tcPr>
            <w:tcW w:w="1474" w:type="dxa"/>
          </w:tcPr>
          <w:p w14:paraId="23915A4C">
            <w:pPr>
              <w:pStyle w:val="110"/>
              <w:spacing w:line="360" w:lineRule="exact"/>
              <w:rPr>
                <w:rFonts w:ascii="宋体"/>
                <w:color w:val="000000"/>
              </w:rPr>
            </w:pPr>
          </w:p>
        </w:tc>
        <w:tc>
          <w:tcPr>
            <w:tcW w:w="1668" w:type="dxa"/>
          </w:tcPr>
          <w:p w14:paraId="23C5D59D">
            <w:pPr>
              <w:pStyle w:val="110"/>
              <w:spacing w:line="360" w:lineRule="exact"/>
              <w:rPr>
                <w:rFonts w:ascii="宋体"/>
                <w:color w:val="000000"/>
              </w:rPr>
            </w:pPr>
          </w:p>
        </w:tc>
        <w:tc>
          <w:tcPr>
            <w:tcW w:w="2277" w:type="dxa"/>
          </w:tcPr>
          <w:p w14:paraId="3FBAB8E4">
            <w:pPr>
              <w:pStyle w:val="110"/>
              <w:spacing w:line="360" w:lineRule="exact"/>
              <w:rPr>
                <w:rFonts w:ascii="宋体"/>
                <w:color w:val="000000"/>
              </w:rPr>
            </w:pPr>
          </w:p>
        </w:tc>
      </w:tr>
      <w:tr w14:paraId="04B58E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1610" w:type="dxa"/>
          </w:tcPr>
          <w:p w14:paraId="46BE8164">
            <w:pPr>
              <w:pStyle w:val="110"/>
              <w:spacing w:line="360" w:lineRule="exact"/>
              <w:rPr>
                <w:rFonts w:ascii="宋体"/>
                <w:color w:val="000000"/>
              </w:rPr>
            </w:pPr>
          </w:p>
        </w:tc>
        <w:tc>
          <w:tcPr>
            <w:tcW w:w="2454" w:type="dxa"/>
          </w:tcPr>
          <w:p w14:paraId="3753D3A4">
            <w:pPr>
              <w:pStyle w:val="110"/>
              <w:spacing w:line="360" w:lineRule="exact"/>
              <w:rPr>
                <w:rFonts w:ascii="宋体"/>
                <w:color w:val="000000"/>
              </w:rPr>
            </w:pPr>
          </w:p>
        </w:tc>
        <w:tc>
          <w:tcPr>
            <w:tcW w:w="1474" w:type="dxa"/>
          </w:tcPr>
          <w:p w14:paraId="1DB12626">
            <w:pPr>
              <w:pStyle w:val="110"/>
              <w:spacing w:line="360" w:lineRule="exact"/>
              <w:rPr>
                <w:rFonts w:ascii="宋体"/>
                <w:color w:val="000000"/>
              </w:rPr>
            </w:pPr>
          </w:p>
        </w:tc>
        <w:tc>
          <w:tcPr>
            <w:tcW w:w="1668" w:type="dxa"/>
          </w:tcPr>
          <w:p w14:paraId="138F542A">
            <w:pPr>
              <w:pStyle w:val="110"/>
              <w:spacing w:line="360" w:lineRule="exact"/>
              <w:rPr>
                <w:rFonts w:ascii="宋体"/>
                <w:color w:val="000000"/>
              </w:rPr>
            </w:pPr>
          </w:p>
        </w:tc>
        <w:tc>
          <w:tcPr>
            <w:tcW w:w="2277" w:type="dxa"/>
          </w:tcPr>
          <w:p w14:paraId="4668028B">
            <w:pPr>
              <w:pStyle w:val="110"/>
              <w:spacing w:line="360" w:lineRule="exact"/>
              <w:rPr>
                <w:rFonts w:ascii="宋体"/>
                <w:color w:val="000000"/>
              </w:rPr>
            </w:pPr>
          </w:p>
        </w:tc>
      </w:tr>
      <w:tr w14:paraId="729671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1610" w:type="dxa"/>
          </w:tcPr>
          <w:p w14:paraId="3FD6E9C8">
            <w:pPr>
              <w:pStyle w:val="110"/>
              <w:spacing w:line="360" w:lineRule="exact"/>
              <w:rPr>
                <w:rFonts w:ascii="宋体"/>
                <w:color w:val="000000"/>
              </w:rPr>
            </w:pPr>
          </w:p>
        </w:tc>
        <w:tc>
          <w:tcPr>
            <w:tcW w:w="2454" w:type="dxa"/>
          </w:tcPr>
          <w:p w14:paraId="31F6726F">
            <w:pPr>
              <w:pStyle w:val="110"/>
              <w:spacing w:line="360" w:lineRule="exact"/>
              <w:rPr>
                <w:rFonts w:ascii="宋体"/>
                <w:color w:val="000000"/>
              </w:rPr>
            </w:pPr>
          </w:p>
        </w:tc>
        <w:tc>
          <w:tcPr>
            <w:tcW w:w="1474" w:type="dxa"/>
          </w:tcPr>
          <w:p w14:paraId="76F2CA96">
            <w:pPr>
              <w:pStyle w:val="110"/>
              <w:spacing w:line="360" w:lineRule="exact"/>
              <w:rPr>
                <w:rFonts w:ascii="宋体"/>
                <w:color w:val="000000"/>
              </w:rPr>
            </w:pPr>
          </w:p>
        </w:tc>
        <w:tc>
          <w:tcPr>
            <w:tcW w:w="1668" w:type="dxa"/>
          </w:tcPr>
          <w:p w14:paraId="5E77D13F">
            <w:pPr>
              <w:pStyle w:val="110"/>
              <w:spacing w:line="360" w:lineRule="exact"/>
              <w:rPr>
                <w:rFonts w:ascii="宋体"/>
                <w:color w:val="000000"/>
              </w:rPr>
            </w:pPr>
          </w:p>
        </w:tc>
        <w:tc>
          <w:tcPr>
            <w:tcW w:w="2277" w:type="dxa"/>
          </w:tcPr>
          <w:p w14:paraId="4012B44B">
            <w:pPr>
              <w:pStyle w:val="110"/>
              <w:spacing w:line="360" w:lineRule="exact"/>
              <w:rPr>
                <w:rFonts w:ascii="宋体"/>
                <w:color w:val="000000"/>
              </w:rPr>
            </w:pPr>
          </w:p>
        </w:tc>
      </w:tr>
      <w:tr w14:paraId="564126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1610" w:type="dxa"/>
          </w:tcPr>
          <w:p w14:paraId="296A5150">
            <w:pPr>
              <w:pStyle w:val="110"/>
              <w:spacing w:line="360" w:lineRule="exact"/>
              <w:rPr>
                <w:rFonts w:ascii="宋体"/>
                <w:color w:val="000000"/>
              </w:rPr>
            </w:pPr>
          </w:p>
        </w:tc>
        <w:tc>
          <w:tcPr>
            <w:tcW w:w="2454" w:type="dxa"/>
          </w:tcPr>
          <w:p w14:paraId="522BCA41">
            <w:pPr>
              <w:pStyle w:val="110"/>
              <w:spacing w:line="360" w:lineRule="exact"/>
              <w:rPr>
                <w:rFonts w:ascii="宋体"/>
                <w:color w:val="000000"/>
              </w:rPr>
            </w:pPr>
          </w:p>
        </w:tc>
        <w:tc>
          <w:tcPr>
            <w:tcW w:w="1474" w:type="dxa"/>
          </w:tcPr>
          <w:p w14:paraId="38A90D75">
            <w:pPr>
              <w:pStyle w:val="110"/>
              <w:spacing w:line="360" w:lineRule="exact"/>
              <w:rPr>
                <w:rFonts w:ascii="宋体"/>
                <w:color w:val="000000"/>
              </w:rPr>
            </w:pPr>
          </w:p>
        </w:tc>
        <w:tc>
          <w:tcPr>
            <w:tcW w:w="1668" w:type="dxa"/>
          </w:tcPr>
          <w:p w14:paraId="099268FC">
            <w:pPr>
              <w:pStyle w:val="110"/>
              <w:spacing w:line="360" w:lineRule="exact"/>
              <w:rPr>
                <w:rFonts w:ascii="宋体"/>
                <w:color w:val="000000"/>
              </w:rPr>
            </w:pPr>
          </w:p>
        </w:tc>
        <w:tc>
          <w:tcPr>
            <w:tcW w:w="2277" w:type="dxa"/>
          </w:tcPr>
          <w:p w14:paraId="0C8C5615">
            <w:pPr>
              <w:pStyle w:val="110"/>
              <w:spacing w:line="360" w:lineRule="exact"/>
              <w:rPr>
                <w:rFonts w:ascii="宋体"/>
                <w:color w:val="000000"/>
              </w:rPr>
            </w:pPr>
          </w:p>
        </w:tc>
      </w:tr>
    </w:tbl>
    <w:p w14:paraId="5211F2FF">
      <w:pPr>
        <w:spacing w:line="460" w:lineRule="exact"/>
        <w:ind w:left="40" w:leftChars="19"/>
        <w:rPr>
          <w:color w:val="000000"/>
          <w:szCs w:val="21"/>
        </w:rPr>
      </w:pPr>
      <w:r>
        <w:rPr>
          <w:rFonts w:hint="eastAsia" w:ascii="宋体"/>
          <w:b/>
          <w:color w:val="000000"/>
          <w:szCs w:val="21"/>
        </w:rPr>
        <w:t>注：</w:t>
      </w:r>
      <w:bookmarkEnd w:id="92"/>
      <w:bookmarkEnd w:id="93"/>
      <w:bookmarkEnd w:id="94"/>
      <w:bookmarkStart w:id="95" w:name="_Toc200512240"/>
      <w:bookmarkStart w:id="96" w:name="_Toc171909036"/>
      <w:r>
        <w:rPr>
          <w:rFonts w:hint="eastAsia"/>
          <w:color w:val="000000"/>
          <w:szCs w:val="21"/>
        </w:rPr>
        <w:t>工作主要业绩及证明文件（</w:t>
      </w:r>
      <w:r>
        <w:rPr>
          <w:color w:val="000000"/>
          <w:szCs w:val="21"/>
        </w:rPr>
        <w:t>业绩</w:t>
      </w:r>
      <w:r>
        <w:rPr>
          <w:rFonts w:hint="eastAsia"/>
          <w:color w:val="000000"/>
          <w:szCs w:val="21"/>
        </w:rPr>
        <w:t>包括</w:t>
      </w:r>
      <w:r>
        <w:rPr>
          <w:color w:val="000000"/>
          <w:szCs w:val="21"/>
        </w:rPr>
        <w:t>中标</w:t>
      </w:r>
      <w:r>
        <w:rPr>
          <w:rFonts w:hint="eastAsia"/>
          <w:color w:val="000000"/>
          <w:szCs w:val="21"/>
        </w:rPr>
        <w:t>或</w:t>
      </w:r>
      <w:r>
        <w:rPr>
          <w:color w:val="000000"/>
          <w:szCs w:val="21"/>
        </w:rPr>
        <w:t>中选通知书</w:t>
      </w:r>
      <w:r>
        <w:rPr>
          <w:rFonts w:hint="eastAsia"/>
          <w:color w:val="000000"/>
          <w:szCs w:val="21"/>
        </w:rPr>
        <w:t>或</w:t>
      </w:r>
      <w:r>
        <w:rPr>
          <w:color w:val="000000"/>
          <w:szCs w:val="21"/>
        </w:rPr>
        <w:t>合同复印件</w:t>
      </w:r>
      <w:r>
        <w:rPr>
          <w:rFonts w:hint="eastAsia"/>
          <w:color w:val="000000"/>
          <w:szCs w:val="21"/>
        </w:rPr>
        <w:t>、检测合同协议、项目任务书等）</w:t>
      </w:r>
    </w:p>
    <w:p w14:paraId="734CB54C">
      <w:pPr>
        <w:pStyle w:val="5"/>
        <w:keepLines w:val="0"/>
        <w:adjustRightInd w:val="0"/>
        <w:spacing w:line="460" w:lineRule="exact"/>
        <w:ind w:left="718" w:hanging="718" w:hangingChars="298"/>
        <w:textAlignment w:val="baseline"/>
        <w:rPr>
          <w:rFonts w:ascii="宋体"/>
          <w:color w:val="000000"/>
          <w:sz w:val="24"/>
          <w:szCs w:val="24"/>
        </w:rPr>
      </w:pPr>
      <w:bookmarkStart w:id="97" w:name="_Toc291754375"/>
      <w:bookmarkStart w:id="98" w:name="_Toc291695268"/>
      <w:r>
        <w:rPr>
          <w:rFonts w:hint="eastAsia" w:ascii="宋体"/>
          <w:color w:val="000000"/>
          <w:sz w:val="24"/>
          <w:szCs w:val="24"/>
          <w:lang w:val="en-US" w:eastAsia="zh-CN"/>
        </w:rPr>
        <w:t>7</w:t>
      </w:r>
      <w:r>
        <w:rPr>
          <w:rFonts w:hint="eastAsia" w:ascii="宋体"/>
          <w:color w:val="000000"/>
          <w:sz w:val="24"/>
          <w:szCs w:val="24"/>
        </w:rPr>
        <w:t>.单位资信证明材料</w:t>
      </w:r>
      <w:bookmarkEnd w:id="97"/>
      <w:bookmarkEnd w:id="98"/>
    </w:p>
    <w:p w14:paraId="4407BDB6">
      <w:pPr>
        <w:tabs>
          <w:tab w:val="left" w:pos="532"/>
        </w:tabs>
        <w:spacing w:line="360" w:lineRule="auto"/>
        <w:ind w:firstLine="117" w:firstLineChars="49"/>
        <w:rPr>
          <w:rFonts w:ascii="宋体"/>
          <w:bCs/>
          <w:color w:val="000000"/>
          <w:sz w:val="24"/>
        </w:rPr>
      </w:pPr>
      <w:r>
        <w:rPr>
          <w:rFonts w:hint="eastAsia" w:ascii="宋体"/>
          <w:b w:val="0"/>
          <w:bCs w:val="0"/>
          <w:color w:val="000000"/>
          <w:sz w:val="24"/>
        </w:rPr>
        <w:t>(</w:t>
      </w:r>
      <w:r>
        <w:rPr>
          <w:rFonts w:hint="eastAsia" w:ascii="宋体"/>
          <w:bCs/>
          <w:color w:val="000000"/>
          <w:sz w:val="24"/>
        </w:rPr>
        <w:t>1)营业执照或事业单位法人证书复印件；</w:t>
      </w:r>
    </w:p>
    <w:p w14:paraId="46B894F2">
      <w:pPr>
        <w:tabs>
          <w:tab w:val="left" w:pos="532"/>
        </w:tabs>
        <w:spacing w:line="360" w:lineRule="auto"/>
        <w:ind w:firstLine="120" w:firstLineChars="50"/>
        <w:rPr>
          <w:rFonts w:hint="eastAsia" w:ascii="宋体"/>
          <w:bCs/>
          <w:color w:val="000000"/>
          <w:sz w:val="24"/>
        </w:rPr>
      </w:pPr>
      <w:r>
        <w:rPr>
          <w:rFonts w:hint="eastAsia" w:ascii="宋体"/>
          <w:bCs/>
          <w:color w:val="000000"/>
          <w:sz w:val="24"/>
        </w:rPr>
        <w:t>(2)资质证书复印件；</w:t>
      </w:r>
    </w:p>
    <w:p w14:paraId="10EF254F">
      <w:pPr>
        <w:tabs>
          <w:tab w:val="left" w:pos="532"/>
        </w:tabs>
        <w:spacing w:line="360" w:lineRule="auto"/>
        <w:ind w:firstLine="120" w:firstLineChars="50"/>
        <w:rPr>
          <w:rFonts w:ascii="宋体"/>
          <w:bCs/>
          <w:color w:val="000000"/>
          <w:sz w:val="24"/>
        </w:rPr>
      </w:pPr>
      <w:r>
        <w:rPr>
          <w:rFonts w:hint="eastAsia" w:ascii="宋体"/>
          <w:bCs/>
          <w:color w:val="000000"/>
          <w:sz w:val="24"/>
        </w:rPr>
        <w:t>(</w:t>
      </w:r>
      <w:r>
        <w:rPr>
          <w:rFonts w:hint="eastAsia" w:ascii="宋体" w:hAnsi="Times New Roman" w:eastAsia="宋体" w:cs="Times New Roman"/>
          <w:bCs w:val="0"/>
          <w:color w:val="000000"/>
          <w:sz w:val="24"/>
        </w:rPr>
        <w:t>3</w:t>
      </w:r>
      <w:r>
        <w:rPr>
          <w:rFonts w:hint="eastAsia" w:ascii="宋体"/>
          <w:bCs/>
          <w:color w:val="000000"/>
          <w:sz w:val="24"/>
        </w:rPr>
        <w:t>)申请人认为需提供的其它资信资料。</w:t>
      </w:r>
    </w:p>
    <w:p w14:paraId="3BB7F3B4">
      <w:pPr>
        <w:tabs>
          <w:tab w:val="left" w:pos="532"/>
        </w:tabs>
        <w:spacing w:line="360" w:lineRule="auto"/>
        <w:rPr>
          <w:rFonts w:ascii="宋体"/>
          <w:b/>
          <w:bCs/>
          <w:color w:val="000000"/>
          <w:sz w:val="24"/>
        </w:rPr>
      </w:pPr>
    </w:p>
    <w:p w14:paraId="494E28FD">
      <w:pPr>
        <w:tabs>
          <w:tab w:val="left" w:pos="532"/>
        </w:tabs>
        <w:spacing w:line="360" w:lineRule="auto"/>
        <w:rPr>
          <w:rFonts w:ascii="宋体"/>
          <w:b/>
          <w:bCs/>
          <w:color w:val="000000"/>
          <w:sz w:val="24"/>
        </w:rPr>
      </w:pPr>
      <w:r>
        <w:rPr>
          <w:rFonts w:hint="eastAsia" w:ascii="宋体"/>
          <w:b/>
          <w:bCs/>
          <w:color w:val="000000"/>
          <w:sz w:val="24"/>
        </w:rPr>
        <w:t>注：请附以上证件复印件并加盖单位公章。</w:t>
      </w:r>
    </w:p>
    <w:p w14:paraId="323D7589">
      <w:pPr>
        <w:rPr>
          <w:rFonts w:ascii="宋体"/>
          <w:color w:val="000000"/>
        </w:rPr>
      </w:pPr>
    </w:p>
    <w:p w14:paraId="1D065734">
      <w:pPr>
        <w:rPr>
          <w:rFonts w:ascii="宋体"/>
          <w:color w:val="000000"/>
        </w:rPr>
      </w:pPr>
    </w:p>
    <w:p w14:paraId="40ED1742">
      <w:pPr>
        <w:rPr>
          <w:rFonts w:ascii="宋体"/>
          <w:color w:val="000000"/>
        </w:rPr>
      </w:pPr>
    </w:p>
    <w:p w14:paraId="52AA5375">
      <w:pPr>
        <w:rPr>
          <w:rFonts w:ascii="宋体"/>
          <w:color w:val="000000"/>
        </w:rPr>
      </w:pPr>
    </w:p>
    <w:p w14:paraId="4806256C">
      <w:pPr>
        <w:ind w:firstLine="3660" w:firstLineChars="1519"/>
        <w:rPr>
          <w:rFonts w:ascii="宋体"/>
          <w:b/>
          <w:color w:val="000000"/>
          <w:kern w:val="0"/>
          <w:sz w:val="24"/>
        </w:rPr>
      </w:pPr>
      <w:r>
        <w:rPr>
          <w:rFonts w:hint="eastAsia" w:ascii="宋体"/>
          <w:b/>
          <w:color w:val="000000"/>
          <w:kern w:val="0"/>
          <w:sz w:val="24"/>
          <w:lang w:val="en-US" w:eastAsia="zh-CN"/>
        </w:rPr>
        <w:t>8</w:t>
      </w:r>
      <w:r>
        <w:rPr>
          <w:rFonts w:hint="eastAsia" w:ascii="宋体"/>
          <w:b/>
          <w:color w:val="000000"/>
          <w:kern w:val="0"/>
          <w:sz w:val="24"/>
        </w:rPr>
        <w:t>.其他材料</w:t>
      </w:r>
    </w:p>
    <w:p w14:paraId="0950255C">
      <w:pPr>
        <w:ind w:firstLine="3660" w:firstLineChars="1519"/>
        <w:rPr>
          <w:rFonts w:ascii="宋体"/>
          <w:b/>
          <w:color w:val="000000"/>
          <w:kern w:val="0"/>
          <w:sz w:val="24"/>
        </w:rPr>
      </w:pPr>
    </w:p>
    <w:p w14:paraId="150E1211">
      <w:pPr>
        <w:ind w:firstLine="3660" w:firstLineChars="1519"/>
        <w:rPr>
          <w:rFonts w:ascii="宋体"/>
          <w:b/>
          <w:color w:val="000000"/>
          <w:kern w:val="0"/>
          <w:sz w:val="24"/>
        </w:rPr>
      </w:pPr>
    </w:p>
    <w:p w14:paraId="400B189B">
      <w:pPr>
        <w:rPr>
          <w:rFonts w:ascii="宋体"/>
          <w:b/>
          <w:bCs/>
          <w:color w:val="000000"/>
          <w:sz w:val="24"/>
        </w:rPr>
      </w:pPr>
    </w:p>
    <w:p w14:paraId="7A105306">
      <w:pPr>
        <w:rPr>
          <w:rFonts w:ascii="宋体"/>
          <w:color w:val="000000"/>
        </w:rPr>
      </w:pPr>
    </w:p>
    <w:p w14:paraId="040A03FA">
      <w:pPr>
        <w:rPr>
          <w:rFonts w:ascii="宋体"/>
          <w:color w:val="000000"/>
        </w:rPr>
      </w:pPr>
    </w:p>
    <w:p w14:paraId="48DFAA32">
      <w:pPr>
        <w:rPr>
          <w:rFonts w:ascii="宋体"/>
          <w:color w:val="000000"/>
        </w:rPr>
      </w:pPr>
    </w:p>
    <w:p w14:paraId="3B70E034">
      <w:pPr>
        <w:rPr>
          <w:rFonts w:ascii="宋体"/>
          <w:color w:val="000000"/>
        </w:rPr>
      </w:pPr>
    </w:p>
    <w:p w14:paraId="7AE09650">
      <w:pPr>
        <w:rPr>
          <w:rFonts w:ascii="宋体"/>
          <w:color w:val="000000"/>
        </w:rPr>
      </w:pPr>
    </w:p>
    <w:p w14:paraId="411A3966">
      <w:pPr>
        <w:rPr>
          <w:rFonts w:ascii="宋体"/>
          <w:color w:val="000000"/>
        </w:rPr>
      </w:pPr>
    </w:p>
    <w:p w14:paraId="72976A56">
      <w:pPr>
        <w:rPr>
          <w:rFonts w:ascii="宋体"/>
          <w:color w:val="000000"/>
        </w:rPr>
      </w:pPr>
    </w:p>
    <w:p w14:paraId="456D5D86">
      <w:pPr>
        <w:rPr>
          <w:rFonts w:ascii="宋体"/>
          <w:color w:val="000000"/>
        </w:rPr>
      </w:pPr>
    </w:p>
    <w:p w14:paraId="22C7BA4B">
      <w:pPr>
        <w:rPr>
          <w:rFonts w:ascii="宋体"/>
          <w:color w:val="000000"/>
        </w:rPr>
      </w:pPr>
      <w:r>
        <w:rPr>
          <w:rFonts w:ascii="宋体"/>
          <w:color w:val="000000"/>
        </w:rPr>
        <w:br w:type="page"/>
      </w:r>
    </w:p>
    <w:bookmarkEnd w:id="95"/>
    <w:bookmarkEnd w:id="96"/>
    <w:p w14:paraId="3796E5DA">
      <w:pPr>
        <w:pStyle w:val="2"/>
        <w:tabs>
          <w:tab w:val="left" w:pos="432"/>
        </w:tabs>
        <w:spacing w:line="336" w:lineRule="auto"/>
        <w:rPr>
          <w:rFonts w:ascii="宋体" w:eastAsia="宋体"/>
          <w:b/>
          <w:bCs/>
          <w:color w:val="000000"/>
          <w:kern w:val="44"/>
          <w:sz w:val="36"/>
          <w:szCs w:val="36"/>
        </w:rPr>
      </w:pPr>
      <w:bookmarkStart w:id="99" w:name="_Toc291754376"/>
      <w:r>
        <w:rPr>
          <w:rFonts w:hint="eastAsia" w:ascii="宋体" w:eastAsia="宋体"/>
          <w:b/>
          <w:bCs/>
          <w:color w:val="auto"/>
          <w:kern w:val="44"/>
          <w:sz w:val="36"/>
          <w:szCs w:val="36"/>
          <w:lang w:eastAsia="zh-CN"/>
        </w:rPr>
        <w:t>第六章</w:t>
      </w:r>
      <w:r>
        <w:rPr>
          <w:rFonts w:hint="eastAsia" w:ascii="宋体" w:eastAsia="宋体"/>
          <w:b/>
          <w:bCs/>
          <w:color w:val="auto"/>
          <w:kern w:val="44"/>
          <w:sz w:val="36"/>
          <w:szCs w:val="36"/>
          <w:lang w:val="en-US" w:eastAsia="zh-CN"/>
        </w:rPr>
        <w:t xml:space="preserve">  </w:t>
      </w:r>
      <w:r>
        <w:rPr>
          <w:rFonts w:hint="eastAsia" w:ascii="宋体" w:eastAsia="宋体"/>
          <w:b/>
          <w:bCs/>
          <w:color w:val="000000"/>
          <w:kern w:val="44"/>
          <w:sz w:val="36"/>
          <w:szCs w:val="36"/>
        </w:rPr>
        <w:t>评审细则</w:t>
      </w:r>
      <w:bookmarkStart w:id="100" w:name="_Toc291244125"/>
      <w:r>
        <w:rPr>
          <w:rFonts w:hint="eastAsia" w:ascii="宋体" w:eastAsia="宋体"/>
          <w:b/>
          <w:bCs/>
          <w:color w:val="000000"/>
          <w:kern w:val="44"/>
          <w:sz w:val="36"/>
          <w:szCs w:val="36"/>
        </w:rPr>
        <w:t>评比方法和标准</w:t>
      </w:r>
      <w:bookmarkEnd w:id="99"/>
      <w:bookmarkEnd w:id="100"/>
    </w:p>
    <w:p w14:paraId="09322F5B">
      <w:pPr>
        <w:spacing w:line="360" w:lineRule="auto"/>
        <w:ind w:left="403" w:leftChars="192"/>
        <w:rPr>
          <w:color w:val="000000"/>
          <w:sz w:val="24"/>
        </w:rPr>
      </w:pPr>
      <w:r>
        <w:rPr>
          <w:rFonts w:hint="eastAsia"/>
          <w:color w:val="000000"/>
          <w:sz w:val="24"/>
        </w:rPr>
        <w:t>一、总则</w:t>
      </w:r>
    </w:p>
    <w:p w14:paraId="0C695B2E">
      <w:pPr>
        <w:spacing w:line="360" w:lineRule="auto"/>
        <w:ind w:left="403" w:leftChars="192"/>
        <w:rPr>
          <w:color w:val="000000"/>
          <w:sz w:val="24"/>
        </w:rPr>
      </w:pPr>
      <w:r>
        <w:rPr>
          <w:rFonts w:hint="eastAsia"/>
          <w:color w:val="000000"/>
          <w:sz w:val="24"/>
        </w:rPr>
        <w:t>1.1、本评比方法和标准依据《大兴区园林绿化局采购管理制度》并结合本项目的实际情况制定。</w:t>
      </w:r>
    </w:p>
    <w:p w14:paraId="06058887">
      <w:pPr>
        <w:spacing w:line="360" w:lineRule="auto"/>
        <w:ind w:left="403" w:leftChars="192"/>
        <w:rPr>
          <w:color w:val="000000"/>
          <w:sz w:val="24"/>
        </w:rPr>
      </w:pPr>
      <w:r>
        <w:rPr>
          <w:rFonts w:hint="eastAsia"/>
          <w:color w:val="000000"/>
          <w:sz w:val="24"/>
        </w:rPr>
        <w:t>1.2、本次评比活动遵循公平、公正、科学、择优的原则，并邀请有关监督部门对评比活动进行全过程监督。</w:t>
      </w:r>
    </w:p>
    <w:p w14:paraId="427222ED">
      <w:pPr>
        <w:spacing w:line="360" w:lineRule="auto"/>
        <w:ind w:left="403" w:leftChars="192"/>
        <w:rPr>
          <w:color w:val="000000"/>
          <w:sz w:val="24"/>
        </w:rPr>
      </w:pPr>
      <w:r>
        <w:rPr>
          <w:rFonts w:hint="eastAsia"/>
          <w:color w:val="000000"/>
          <w:sz w:val="24"/>
        </w:rPr>
        <w:t>1.3、本次采用综合评估法。比选小组将根据本评比标准和方法，对合格的比选文件进行系统地评审和比较。</w:t>
      </w:r>
    </w:p>
    <w:p w14:paraId="06828988">
      <w:pPr>
        <w:spacing w:line="360" w:lineRule="auto"/>
        <w:ind w:left="403" w:leftChars="192"/>
        <w:rPr>
          <w:color w:val="000000"/>
          <w:sz w:val="24"/>
        </w:rPr>
      </w:pPr>
      <w:r>
        <w:rPr>
          <w:rFonts w:hint="eastAsia"/>
          <w:color w:val="000000"/>
          <w:sz w:val="24"/>
        </w:rPr>
        <w:t>二、比选小组</w:t>
      </w:r>
    </w:p>
    <w:p w14:paraId="1D6CFA50">
      <w:pPr>
        <w:spacing w:line="360" w:lineRule="auto"/>
        <w:ind w:left="403" w:leftChars="192"/>
        <w:rPr>
          <w:color w:val="000000"/>
          <w:sz w:val="24"/>
        </w:rPr>
      </w:pPr>
      <w:r>
        <w:rPr>
          <w:rFonts w:hint="eastAsia"/>
          <w:color w:val="000000"/>
          <w:sz w:val="24"/>
        </w:rPr>
        <w:t>2.1、评比由比选人依相关规定组建的比选小组负责。成员人数为5人单数。有下列情形之一的，不得担任比选小组成员：</w:t>
      </w:r>
    </w:p>
    <w:p w14:paraId="206176B9">
      <w:pPr>
        <w:spacing w:line="360" w:lineRule="auto"/>
        <w:ind w:left="403" w:leftChars="192"/>
        <w:rPr>
          <w:color w:val="000000"/>
          <w:sz w:val="24"/>
        </w:rPr>
      </w:pPr>
      <w:r>
        <w:rPr>
          <w:rFonts w:hint="eastAsia"/>
          <w:color w:val="000000"/>
          <w:sz w:val="24"/>
        </w:rPr>
        <w:t>（一）比选申请人的主要负责人及其近亲属；</w:t>
      </w:r>
    </w:p>
    <w:p w14:paraId="20B2D8A6">
      <w:pPr>
        <w:spacing w:line="360" w:lineRule="auto"/>
        <w:ind w:left="403" w:leftChars="192"/>
        <w:rPr>
          <w:color w:val="000000"/>
          <w:sz w:val="24"/>
        </w:rPr>
      </w:pPr>
      <w:r>
        <w:rPr>
          <w:rFonts w:hint="eastAsia"/>
          <w:color w:val="000000"/>
          <w:sz w:val="24"/>
        </w:rPr>
        <w:t>（二）与比选申请人有经济利益关系，可能影响比选公正评审的。</w:t>
      </w:r>
    </w:p>
    <w:p w14:paraId="3998D6C2">
      <w:pPr>
        <w:spacing w:line="360" w:lineRule="auto"/>
        <w:ind w:left="403" w:leftChars="192"/>
        <w:rPr>
          <w:color w:val="000000"/>
          <w:sz w:val="24"/>
        </w:rPr>
      </w:pPr>
      <w:r>
        <w:rPr>
          <w:rFonts w:hint="eastAsia"/>
          <w:color w:val="000000"/>
          <w:sz w:val="24"/>
        </w:rPr>
        <w:t>比选小组成员有前款规定的情形之一的，应当主动提出回避。不主动提出回避的，一经发现，监督人员应当立即终止其参加评比。</w:t>
      </w:r>
    </w:p>
    <w:p w14:paraId="77FC6C67">
      <w:pPr>
        <w:spacing w:line="360" w:lineRule="auto"/>
        <w:ind w:left="403" w:leftChars="192"/>
        <w:rPr>
          <w:color w:val="000000"/>
          <w:sz w:val="24"/>
        </w:rPr>
      </w:pPr>
      <w:r>
        <w:rPr>
          <w:rFonts w:hint="eastAsia"/>
          <w:color w:val="000000"/>
          <w:sz w:val="24"/>
        </w:rPr>
        <w:t>三、比选方法</w:t>
      </w:r>
    </w:p>
    <w:p w14:paraId="35B14247">
      <w:pPr>
        <w:spacing w:line="360" w:lineRule="auto"/>
        <w:ind w:left="403" w:leftChars="192"/>
        <w:rPr>
          <w:color w:val="000000"/>
          <w:sz w:val="24"/>
        </w:rPr>
      </w:pPr>
      <w:r>
        <w:rPr>
          <w:rFonts w:hint="eastAsia"/>
          <w:color w:val="000000"/>
          <w:sz w:val="24"/>
        </w:rPr>
        <w:t>本次比选采用综合评估法，比选小组对满足比选文件实质性要求的比选响应文件，按照比选文件规定的评分标准进行打分，并按得分由高到低顺序推荐中选候选人。</w:t>
      </w:r>
    </w:p>
    <w:p w14:paraId="5796A1ED">
      <w:pPr>
        <w:spacing w:line="360" w:lineRule="auto"/>
        <w:ind w:left="403" w:leftChars="192"/>
        <w:rPr>
          <w:color w:val="000000"/>
          <w:sz w:val="24"/>
        </w:rPr>
      </w:pPr>
    </w:p>
    <w:p w14:paraId="24172DED">
      <w:pPr>
        <w:spacing w:line="360" w:lineRule="auto"/>
        <w:ind w:left="403" w:leftChars="192"/>
        <w:rPr>
          <w:color w:val="000000"/>
          <w:sz w:val="24"/>
        </w:rPr>
      </w:pPr>
    </w:p>
    <w:p w14:paraId="67C233CB">
      <w:pPr>
        <w:spacing w:line="360" w:lineRule="auto"/>
        <w:ind w:left="403" w:leftChars="192"/>
        <w:rPr>
          <w:color w:val="000000"/>
          <w:sz w:val="24"/>
        </w:rPr>
      </w:pPr>
    </w:p>
    <w:p w14:paraId="680E63C2">
      <w:pPr>
        <w:spacing w:line="360" w:lineRule="auto"/>
        <w:ind w:left="403" w:leftChars="192"/>
        <w:rPr>
          <w:color w:val="000000"/>
          <w:sz w:val="24"/>
        </w:rPr>
      </w:pPr>
    </w:p>
    <w:p w14:paraId="66FD47A7">
      <w:pPr>
        <w:spacing w:line="360" w:lineRule="auto"/>
        <w:ind w:left="403" w:leftChars="192"/>
        <w:rPr>
          <w:color w:val="000000"/>
          <w:sz w:val="24"/>
        </w:rPr>
      </w:pPr>
    </w:p>
    <w:p w14:paraId="62F61B24">
      <w:pPr>
        <w:spacing w:line="360" w:lineRule="auto"/>
        <w:ind w:left="403" w:leftChars="192"/>
        <w:rPr>
          <w:color w:val="000000"/>
          <w:sz w:val="24"/>
        </w:rPr>
      </w:pPr>
    </w:p>
    <w:p w14:paraId="6771D723">
      <w:pPr>
        <w:spacing w:line="360" w:lineRule="auto"/>
        <w:ind w:left="403" w:leftChars="192"/>
        <w:rPr>
          <w:color w:val="000000"/>
          <w:sz w:val="24"/>
        </w:rPr>
      </w:pPr>
    </w:p>
    <w:p w14:paraId="55E57795">
      <w:pPr>
        <w:spacing w:line="360" w:lineRule="auto"/>
        <w:ind w:left="403" w:leftChars="192"/>
        <w:rPr>
          <w:color w:val="000000"/>
          <w:sz w:val="24"/>
        </w:rPr>
      </w:pPr>
    </w:p>
    <w:p w14:paraId="4D58C34D">
      <w:pPr>
        <w:spacing w:line="360" w:lineRule="auto"/>
        <w:ind w:left="403" w:leftChars="192"/>
        <w:rPr>
          <w:color w:val="000000"/>
          <w:sz w:val="24"/>
        </w:rPr>
      </w:pPr>
    </w:p>
    <w:p w14:paraId="12CF0BE6">
      <w:pPr>
        <w:spacing w:line="360" w:lineRule="auto"/>
        <w:ind w:left="403" w:leftChars="192"/>
        <w:rPr>
          <w:color w:val="000000"/>
          <w:sz w:val="24"/>
        </w:rPr>
      </w:pPr>
    </w:p>
    <w:p w14:paraId="19334069">
      <w:pPr>
        <w:spacing w:line="360" w:lineRule="auto"/>
        <w:ind w:left="403" w:leftChars="192"/>
        <w:rPr>
          <w:color w:val="000000"/>
          <w:sz w:val="24"/>
        </w:rPr>
      </w:pPr>
    </w:p>
    <w:p w14:paraId="0D10E880">
      <w:pPr>
        <w:spacing w:line="360" w:lineRule="auto"/>
        <w:ind w:left="403" w:leftChars="192"/>
        <w:rPr>
          <w:color w:val="000000"/>
          <w:sz w:val="24"/>
        </w:rPr>
      </w:pPr>
    </w:p>
    <w:p w14:paraId="4692C831">
      <w:pPr>
        <w:spacing w:line="360" w:lineRule="auto"/>
        <w:ind w:left="403" w:leftChars="192"/>
        <w:rPr>
          <w:color w:val="000000"/>
          <w:sz w:val="24"/>
        </w:rPr>
      </w:pPr>
    </w:p>
    <w:p w14:paraId="158CC36F">
      <w:pPr>
        <w:spacing w:line="360" w:lineRule="auto"/>
        <w:ind w:left="403" w:leftChars="192"/>
        <w:rPr>
          <w:color w:val="000000"/>
          <w:sz w:val="24"/>
        </w:rPr>
      </w:pPr>
    </w:p>
    <w:p w14:paraId="673AB96D">
      <w:pPr>
        <w:spacing w:line="360" w:lineRule="auto"/>
        <w:rPr>
          <w:color w:val="000000"/>
          <w:sz w:val="24"/>
        </w:rPr>
      </w:pPr>
      <w:r>
        <w:rPr>
          <w:rFonts w:hint="eastAsia"/>
          <w:color w:val="000000"/>
          <w:sz w:val="24"/>
        </w:rPr>
        <w:t>附件：评比评审标准</w:t>
      </w:r>
    </w:p>
    <w:p w14:paraId="16F23C06">
      <w:pPr>
        <w:spacing w:line="360" w:lineRule="auto"/>
        <w:jc w:val="center"/>
        <w:rPr>
          <w:b/>
          <w:bCs/>
          <w:color w:val="000000"/>
          <w:sz w:val="24"/>
        </w:rPr>
      </w:pPr>
      <w:r>
        <w:rPr>
          <w:rFonts w:hint="eastAsia"/>
          <w:b/>
          <w:color w:val="000000"/>
          <w:sz w:val="24"/>
        </w:rPr>
        <w:t>综合评分表</w:t>
      </w:r>
      <w:r>
        <w:rPr>
          <w:rFonts w:hint="eastAsia"/>
          <w:b/>
          <w:bCs/>
          <w:color w:val="000000"/>
          <w:sz w:val="24"/>
        </w:rPr>
        <w:t>量化考核评分标准表</w:t>
      </w:r>
    </w:p>
    <w:tbl>
      <w:tblPr>
        <w:tblStyle w:val="43"/>
        <w:tblW w:w="10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154"/>
        <w:gridCol w:w="1032"/>
      </w:tblGrid>
      <w:tr w14:paraId="40E6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21" w:type="dxa"/>
            <w:vAlign w:val="center"/>
          </w:tcPr>
          <w:p w14:paraId="38D587EB">
            <w:pPr>
              <w:spacing w:line="360" w:lineRule="auto"/>
              <w:jc w:val="center"/>
              <w:rPr>
                <w:color w:val="000000"/>
                <w:szCs w:val="21"/>
              </w:rPr>
            </w:pPr>
            <w:r>
              <w:rPr>
                <w:rFonts w:hint="eastAsia"/>
                <w:color w:val="000000"/>
                <w:szCs w:val="21"/>
              </w:rPr>
              <w:t>序号</w:t>
            </w:r>
          </w:p>
        </w:tc>
        <w:tc>
          <w:tcPr>
            <w:tcW w:w="8154" w:type="dxa"/>
            <w:vAlign w:val="center"/>
          </w:tcPr>
          <w:p w14:paraId="059EA5D0">
            <w:pPr>
              <w:spacing w:line="360" w:lineRule="auto"/>
              <w:rPr>
                <w:color w:val="000000"/>
                <w:szCs w:val="21"/>
              </w:rPr>
            </w:pPr>
            <w:r>
              <w:rPr>
                <w:rFonts w:hint="eastAsia"/>
                <w:color w:val="000000"/>
                <w:szCs w:val="21"/>
              </w:rPr>
              <w:t>项目内容</w:t>
            </w:r>
          </w:p>
        </w:tc>
        <w:tc>
          <w:tcPr>
            <w:tcW w:w="1032" w:type="dxa"/>
            <w:vAlign w:val="center"/>
          </w:tcPr>
          <w:p w14:paraId="520DDE02">
            <w:pPr>
              <w:spacing w:line="360" w:lineRule="auto"/>
              <w:jc w:val="center"/>
              <w:rPr>
                <w:color w:val="000000"/>
                <w:szCs w:val="21"/>
              </w:rPr>
            </w:pPr>
            <w:r>
              <w:rPr>
                <w:rFonts w:hint="eastAsia"/>
                <w:color w:val="000000"/>
                <w:szCs w:val="21"/>
              </w:rPr>
              <w:t>分值</w:t>
            </w:r>
          </w:p>
        </w:tc>
      </w:tr>
      <w:tr w14:paraId="621A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21" w:type="dxa"/>
            <w:vAlign w:val="center"/>
          </w:tcPr>
          <w:p w14:paraId="2FCE7748">
            <w:pPr>
              <w:spacing w:line="360" w:lineRule="auto"/>
              <w:jc w:val="center"/>
              <w:rPr>
                <w:color w:val="000000"/>
                <w:szCs w:val="21"/>
              </w:rPr>
            </w:pPr>
            <w:r>
              <w:rPr>
                <w:rFonts w:hint="eastAsia"/>
                <w:color w:val="000000"/>
                <w:szCs w:val="21"/>
              </w:rPr>
              <w:t>一</w:t>
            </w:r>
          </w:p>
          <w:p w14:paraId="4B6C9163">
            <w:pPr>
              <w:spacing w:line="360" w:lineRule="auto"/>
              <w:rPr>
                <w:color w:val="000000"/>
                <w:szCs w:val="21"/>
              </w:rPr>
            </w:pPr>
          </w:p>
        </w:tc>
        <w:tc>
          <w:tcPr>
            <w:tcW w:w="8154" w:type="dxa"/>
            <w:vAlign w:val="center"/>
          </w:tcPr>
          <w:p w14:paraId="7A92E43D">
            <w:pPr>
              <w:spacing w:line="360" w:lineRule="auto"/>
              <w:rPr>
                <w:color w:val="000000"/>
                <w:szCs w:val="21"/>
              </w:rPr>
            </w:pPr>
            <w:r>
              <w:rPr>
                <w:rFonts w:hint="eastAsia"/>
                <w:color w:val="000000"/>
                <w:szCs w:val="21"/>
              </w:rPr>
              <w:t>人员配置：</w:t>
            </w:r>
          </w:p>
          <w:p w14:paraId="63A75977">
            <w:pPr>
              <w:spacing w:line="360" w:lineRule="auto"/>
              <w:rPr>
                <w:color w:val="000000"/>
                <w:szCs w:val="21"/>
              </w:rPr>
            </w:pPr>
            <w:r>
              <w:rPr>
                <w:rFonts w:hint="eastAsia"/>
                <w:color w:val="000000"/>
                <w:szCs w:val="21"/>
              </w:rPr>
              <w:t>1、人员配置较为齐全得</w:t>
            </w:r>
            <w:r>
              <w:rPr>
                <w:rFonts w:hint="eastAsia"/>
                <w:color w:val="000000"/>
                <w:szCs w:val="21"/>
                <w:lang w:val="en-US" w:eastAsia="zh-CN"/>
              </w:rPr>
              <w:t>16</w:t>
            </w:r>
            <w:r>
              <w:rPr>
                <w:rFonts w:hint="eastAsia"/>
                <w:color w:val="000000"/>
                <w:szCs w:val="21"/>
              </w:rPr>
              <w:t>-</w:t>
            </w:r>
            <w:r>
              <w:rPr>
                <w:rFonts w:hint="eastAsia"/>
                <w:color w:val="000000"/>
                <w:szCs w:val="21"/>
                <w:lang w:val="en-US" w:eastAsia="zh-CN"/>
              </w:rPr>
              <w:t>2</w:t>
            </w:r>
            <w:r>
              <w:rPr>
                <w:rFonts w:hint="eastAsia"/>
                <w:color w:val="000000"/>
                <w:szCs w:val="21"/>
              </w:rPr>
              <w:t>0分；</w:t>
            </w:r>
          </w:p>
          <w:p w14:paraId="3516A094">
            <w:pPr>
              <w:spacing w:line="360" w:lineRule="auto"/>
              <w:rPr>
                <w:color w:val="000000"/>
                <w:szCs w:val="21"/>
              </w:rPr>
            </w:pPr>
            <w:r>
              <w:rPr>
                <w:rFonts w:hint="eastAsia"/>
                <w:color w:val="000000"/>
                <w:szCs w:val="21"/>
              </w:rPr>
              <w:t>2、人员配置一般得</w:t>
            </w:r>
            <w:r>
              <w:rPr>
                <w:rFonts w:hint="eastAsia"/>
                <w:color w:val="000000"/>
                <w:szCs w:val="21"/>
                <w:lang w:val="en-US" w:eastAsia="zh-CN"/>
              </w:rPr>
              <w:t>10</w:t>
            </w:r>
            <w:r>
              <w:rPr>
                <w:rFonts w:hint="eastAsia"/>
                <w:color w:val="000000"/>
                <w:szCs w:val="21"/>
              </w:rPr>
              <w:t>-</w:t>
            </w:r>
            <w:r>
              <w:rPr>
                <w:rFonts w:hint="eastAsia"/>
                <w:color w:val="000000"/>
                <w:szCs w:val="21"/>
                <w:lang w:val="en-US" w:eastAsia="zh-CN"/>
              </w:rPr>
              <w:t>15</w:t>
            </w:r>
            <w:r>
              <w:rPr>
                <w:rFonts w:hint="eastAsia"/>
                <w:color w:val="000000"/>
                <w:szCs w:val="21"/>
              </w:rPr>
              <w:t>分；</w:t>
            </w:r>
          </w:p>
          <w:p w14:paraId="60EBD21F">
            <w:pPr>
              <w:spacing w:line="360" w:lineRule="auto"/>
              <w:rPr>
                <w:rFonts w:hint="eastAsia" w:eastAsia="宋体"/>
                <w:color w:val="000000"/>
                <w:szCs w:val="21"/>
                <w:lang w:val="en-US" w:eastAsia="zh-CN"/>
              </w:rPr>
            </w:pPr>
            <w:r>
              <w:rPr>
                <w:rFonts w:hint="eastAsia"/>
                <w:color w:val="000000"/>
                <w:szCs w:val="21"/>
              </w:rPr>
              <w:t>3、人员配置较差得</w:t>
            </w:r>
            <w:r>
              <w:rPr>
                <w:rFonts w:hint="eastAsia"/>
                <w:color w:val="000000"/>
                <w:szCs w:val="21"/>
                <w:lang w:val="en-US" w:eastAsia="zh-CN"/>
              </w:rPr>
              <w:t>10</w:t>
            </w:r>
            <w:r>
              <w:rPr>
                <w:rFonts w:hint="eastAsia"/>
                <w:color w:val="000000"/>
                <w:szCs w:val="21"/>
              </w:rPr>
              <w:t>分以下；</w:t>
            </w:r>
          </w:p>
        </w:tc>
        <w:tc>
          <w:tcPr>
            <w:tcW w:w="1032" w:type="dxa"/>
            <w:vAlign w:val="center"/>
          </w:tcPr>
          <w:p w14:paraId="113EA2AC">
            <w:pPr>
              <w:spacing w:line="360" w:lineRule="auto"/>
              <w:ind w:firstLine="0" w:firstLineChars="0"/>
              <w:jc w:val="center"/>
              <w:rPr>
                <w:rFonts w:hint="default" w:eastAsia="宋体"/>
                <w:color w:val="000000"/>
                <w:szCs w:val="21"/>
                <w:lang w:val="en-US" w:eastAsia="zh-CN"/>
              </w:rPr>
            </w:pPr>
            <w:r>
              <w:rPr>
                <w:rFonts w:hint="eastAsia"/>
                <w:color w:val="000000"/>
                <w:szCs w:val="21"/>
                <w:lang w:val="en-US" w:eastAsia="zh-CN"/>
              </w:rPr>
              <w:t>20</w:t>
            </w:r>
          </w:p>
        </w:tc>
      </w:tr>
      <w:tr w14:paraId="5046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21" w:type="dxa"/>
            <w:vAlign w:val="center"/>
          </w:tcPr>
          <w:p w14:paraId="3E3EFDD7">
            <w:pPr>
              <w:spacing w:line="360" w:lineRule="auto"/>
              <w:jc w:val="center"/>
              <w:rPr>
                <w:rFonts w:hint="eastAsia" w:eastAsia="宋体"/>
                <w:color w:val="000000"/>
                <w:szCs w:val="21"/>
                <w:lang w:eastAsia="zh-CN"/>
              </w:rPr>
            </w:pPr>
            <w:r>
              <w:rPr>
                <w:rFonts w:hint="eastAsia"/>
                <w:color w:val="000000"/>
                <w:szCs w:val="21"/>
                <w:lang w:eastAsia="zh-CN"/>
              </w:rPr>
              <w:t>二</w:t>
            </w:r>
          </w:p>
        </w:tc>
        <w:tc>
          <w:tcPr>
            <w:tcW w:w="8154" w:type="dxa"/>
            <w:vAlign w:val="center"/>
          </w:tcPr>
          <w:p w14:paraId="39C89D16">
            <w:pPr>
              <w:spacing w:line="360" w:lineRule="auto"/>
              <w:rPr>
                <w:rFonts w:hint="eastAsia"/>
                <w:color w:val="000000"/>
                <w:szCs w:val="21"/>
                <w:lang w:val="en-US" w:eastAsia="zh-CN"/>
              </w:rPr>
            </w:pPr>
            <w:r>
              <w:rPr>
                <w:rFonts w:hint="eastAsia"/>
                <w:color w:val="000000"/>
                <w:szCs w:val="21"/>
                <w:lang w:val="en-US" w:eastAsia="zh-CN"/>
              </w:rPr>
              <w:t>方案编制：</w:t>
            </w:r>
          </w:p>
          <w:p w14:paraId="78A350CA">
            <w:pPr>
              <w:numPr>
                <w:ilvl w:val="-1"/>
                <w:numId w:val="0"/>
              </w:numPr>
              <w:spacing w:line="360" w:lineRule="auto"/>
              <w:rPr>
                <w:rFonts w:hint="eastAsia"/>
                <w:color w:val="000000"/>
                <w:szCs w:val="21"/>
                <w:lang w:val="en-US" w:eastAsia="zh-CN"/>
              </w:rPr>
            </w:pPr>
            <w:r>
              <w:rPr>
                <w:rFonts w:hint="eastAsia"/>
                <w:color w:val="000000"/>
                <w:szCs w:val="21"/>
                <w:lang w:val="en-US" w:eastAsia="zh-CN"/>
              </w:rPr>
              <w:t>1、方案较完善，可行性强得20-25分：</w:t>
            </w:r>
          </w:p>
          <w:p w14:paraId="11877022">
            <w:pPr>
              <w:numPr>
                <w:ilvl w:val="-1"/>
                <w:numId w:val="0"/>
              </w:numPr>
              <w:spacing w:line="360" w:lineRule="auto"/>
              <w:rPr>
                <w:rFonts w:hint="eastAsia"/>
                <w:color w:val="000000"/>
                <w:szCs w:val="21"/>
                <w:lang w:val="en-US" w:eastAsia="zh-CN"/>
              </w:rPr>
            </w:pPr>
            <w:r>
              <w:rPr>
                <w:rFonts w:hint="eastAsia"/>
                <w:color w:val="000000"/>
                <w:szCs w:val="21"/>
                <w:lang w:val="en-US" w:eastAsia="zh-CN"/>
              </w:rPr>
              <w:t>2、方案一般，可行性较强15-19分：</w:t>
            </w:r>
          </w:p>
          <w:p w14:paraId="70997D8E">
            <w:pPr>
              <w:numPr>
                <w:ilvl w:val="-1"/>
                <w:numId w:val="0"/>
              </w:numPr>
              <w:spacing w:line="360" w:lineRule="auto"/>
              <w:rPr>
                <w:rFonts w:hint="default"/>
                <w:color w:val="000000"/>
                <w:szCs w:val="21"/>
                <w:lang w:val="en-US" w:eastAsia="zh-CN"/>
              </w:rPr>
            </w:pPr>
            <w:r>
              <w:rPr>
                <w:rFonts w:hint="eastAsia"/>
                <w:color w:val="000000"/>
                <w:szCs w:val="21"/>
                <w:lang w:val="en-US" w:eastAsia="zh-CN"/>
              </w:rPr>
              <w:t>3、方案粗糙，可行性差10-14分：</w:t>
            </w:r>
          </w:p>
        </w:tc>
        <w:tc>
          <w:tcPr>
            <w:tcW w:w="1032" w:type="dxa"/>
            <w:vAlign w:val="center"/>
          </w:tcPr>
          <w:p w14:paraId="77F31222">
            <w:pPr>
              <w:spacing w:line="360" w:lineRule="auto"/>
              <w:ind w:firstLine="0" w:firstLineChars="0"/>
              <w:jc w:val="center"/>
              <w:rPr>
                <w:rFonts w:hint="default" w:eastAsia="宋体"/>
                <w:color w:val="000000"/>
                <w:szCs w:val="21"/>
                <w:lang w:val="en-US" w:eastAsia="zh-CN"/>
              </w:rPr>
            </w:pPr>
            <w:r>
              <w:rPr>
                <w:rFonts w:hint="eastAsia"/>
                <w:color w:val="000000"/>
                <w:szCs w:val="21"/>
                <w:lang w:val="en-US" w:eastAsia="zh-CN"/>
              </w:rPr>
              <w:t>25</w:t>
            </w:r>
          </w:p>
        </w:tc>
      </w:tr>
      <w:tr w14:paraId="3998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21" w:type="dxa"/>
            <w:vAlign w:val="center"/>
          </w:tcPr>
          <w:p w14:paraId="48FF5673">
            <w:pPr>
              <w:spacing w:line="360" w:lineRule="auto"/>
              <w:jc w:val="center"/>
              <w:rPr>
                <w:rFonts w:hint="default" w:eastAsia="宋体"/>
                <w:color w:val="000000"/>
                <w:szCs w:val="21"/>
                <w:lang w:val="en-US" w:eastAsia="zh-CN"/>
              </w:rPr>
            </w:pPr>
            <w:r>
              <w:rPr>
                <w:rFonts w:hint="eastAsia"/>
                <w:color w:val="000000"/>
                <w:szCs w:val="21"/>
                <w:lang w:val="en-US" w:eastAsia="zh-CN"/>
              </w:rPr>
              <w:t>三</w:t>
            </w:r>
          </w:p>
        </w:tc>
        <w:tc>
          <w:tcPr>
            <w:tcW w:w="8154" w:type="dxa"/>
            <w:vAlign w:val="center"/>
          </w:tcPr>
          <w:p w14:paraId="3B6D47B6">
            <w:pPr>
              <w:spacing w:line="360" w:lineRule="auto"/>
              <w:rPr>
                <w:color w:val="000000"/>
                <w:szCs w:val="21"/>
              </w:rPr>
            </w:pPr>
            <w:r>
              <w:rPr>
                <w:rFonts w:hint="eastAsia"/>
                <w:color w:val="000000"/>
                <w:szCs w:val="21"/>
              </w:rPr>
              <w:t>设备</w:t>
            </w:r>
            <w:r>
              <w:rPr>
                <w:rFonts w:hint="eastAsia"/>
                <w:color w:val="000000"/>
                <w:szCs w:val="21"/>
                <w:lang w:eastAsia="zh-CN"/>
              </w:rPr>
              <w:t>及</w:t>
            </w:r>
            <w:r>
              <w:rPr>
                <w:rFonts w:hint="eastAsia"/>
                <w:color w:val="000000"/>
                <w:szCs w:val="21"/>
                <w:lang w:val="en-US" w:eastAsia="zh-CN"/>
              </w:rPr>
              <w:t>资质</w:t>
            </w:r>
            <w:r>
              <w:rPr>
                <w:rFonts w:hint="eastAsia"/>
                <w:color w:val="000000"/>
                <w:szCs w:val="21"/>
              </w:rPr>
              <w:t>：</w:t>
            </w:r>
          </w:p>
          <w:p w14:paraId="722B70B0">
            <w:pPr>
              <w:numPr>
                <w:ilvl w:val="0"/>
                <w:numId w:val="8"/>
              </w:numPr>
              <w:spacing w:line="360" w:lineRule="auto"/>
              <w:rPr>
                <w:rFonts w:hint="eastAsia"/>
                <w:color w:val="000000"/>
                <w:szCs w:val="21"/>
                <w:lang w:val="en-US" w:eastAsia="zh-CN"/>
              </w:rPr>
            </w:pPr>
            <w:r>
              <w:rPr>
                <w:rFonts w:hint="eastAsia"/>
                <w:color w:val="000000"/>
                <w:szCs w:val="21"/>
                <w:highlight w:val="none"/>
                <w:lang w:val="en-US" w:eastAsia="zh-CN"/>
              </w:rPr>
              <w:t>检测监测设备和检测资质较为完善</w:t>
            </w:r>
            <w:r>
              <w:rPr>
                <w:rFonts w:hint="eastAsia"/>
                <w:color w:val="000000"/>
                <w:szCs w:val="21"/>
                <w:lang w:val="en-US" w:eastAsia="zh-CN"/>
              </w:rPr>
              <w:t>，得16-20分；</w:t>
            </w:r>
          </w:p>
          <w:p w14:paraId="3C09083F">
            <w:pPr>
              <w:spacing w:line="360" w:lineRule="auto"/>
              <w:rPr>
                <w:color w:val="000000"/>
                <w:szCs w:val="21"/>
              </w:rPr>
            </w:pPr>
            <w:r>
              <w:rPr>
                <w:rFonts w:hint="eastAsia"/>
                <w:color w:val="000000"/>
                <w:szCs w:val="21"/>
                <w:lang w:val="en-US" w:eastAsia="zh-CN"/>
              </w:rPr>
              <w:t>2、</w:t>
            </w:r>
            <w:r>
              <w:rPr>
                <w:rFonts w:hint="eastAsia"/>
                <w:color w:val="auto"/>
                <w:szCs w:val="21"/>
                <w:highlight w:val="none"/>
              </w:rPr>
              <w:t>检测</w:t>
            </w:r>
            <w:r>
              <w:rPr>
                <w:rFonts w:hint="eastAsia"/>
                <w:color w:val="auto"/>
                <w:szCs w:val="21"/>
                <w:highlight w:val="none"/>
                <w:lang w:val="en-US" w:eastAsia="zh-CN"/>
              </w:rPr>
              <w:t>监测</w:t>
            </w:r>
            <w:r>
              <w:rPr>
                <w:rFonts w:hint="eastAsia"/>
                <w:color w:val="auto"/>
                <w:szCs w:val="21"/>
                <w:highlight w:val="none"/>
              </w:rPr>
              <w:t>设备</w:t>
            </w:r>
            <w:r>
              <w:rPr>
                <w:rFonts w:hint="eastAsia"/>
                <w:color w:val="auto"/>
                <w:szCs w:val="21"/>
                <w:highlight w:val="none"/>
                <w:lang w:val="en-US" w:eastAsia="zh-CN"/>
              </w:rPr>
              <w:t>和检测资质一般，</w:t>
            </w:r>
            <w:r>
              <w:rPr>
                <w:rFonts w:hint="eastAsia"/>
                <w:color w:val="000000"/>
                <w:szCs w:val="21"/>
                <w:lang w:val="en-US" w:eastAsia="zh-CN"/>
              </w:rPr>
              <w:t>得10-15分</w:t>
            </w:r>
            <w:r>
              <w:rPr>
                <w:rFonts w:hint="eastAsia"/>
                <w:color w:val="000000"/>
                <w:szCs w:val="21"/>
                <w:highlight w:val="none"/>
              </w:rPr>
              <w:t>。</w:t>
            </w:r>
          </w:p>
        </w:tc>
        <w:tc>
          <w:tcPr>
            <w:tcW w:w="1032" w:type="dxa"/>
            <w:vAlign w:val="center"/>
          </w:tcPr>
          <w:p w14:paraId="680F5D36">
            <w:pPr>
              <w:spacing w:line="360" w:lineRule="auto"/>
              <w:jc w:val="center"/>
              <w:rPr>
                <w:color w:val="000000"/>
                <w:szCs w:val="21"/>
              </w:rPr>
            </w:pPr>
          </w:p>
          <w:p w14:paraId="6CE72CF7">
            <w:pPr>
              <w:spacing w:line="360" w:lineRule="auto"/>
              <w:jc w:val="center"/>
              <w:rPr>
                <w:color w:val="000000"/>
                <w:szCs w:val="21"/>
              </w:rPr>
            </w:pPr>
            <w:r>
              <w:rPr>
                <w:rFonts w:hint="eastAsia"/>
                <w:color w:val="000000"/>
                <w:szCs w:val="21"/>
              </w:rPr>
              <w:t>2</w:t>
            </w:r>
            <w:r>
              <w:rPr>
                <w:color w:val="000000"/>
                <w:szCs w:val="21"/>
              </w:rPr>
              <w:t>0</w:t>
            </w:r>
          </w:p>
        </w:tc>
      </w:tr>
      <w:tr w14:paraId="3CF1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21" w:type="dxa"/>
            <w:vAlign w:val="center"/>
          </w:tcPr>
          <w:p w14:paraId="35D23EA9">
            <w:pPr>
              <w:spacing w:line="360" w:lineRule="auto"/>
              <w:jc w:val="center"/>
              <w:rPr>
                <w:rFonts w:hint="eastAsia" w:eastAsia="宋体"/>
                <w:color w:val="000000"/>
                <w:szCs w:val="21"/>
                <w:lang w:eastAsia="zh-CN"/>
              </w:rPr>
            </w:pPr>
            <w:r>
              <w:rPr>
                <w:rFonts w:hint="eastAsia"/>
                <w:color w:val="000000"/>
                <w:szCs w:val="21"/>
                <w:lang w:eastAsia="zh-CN"/>
              </w:rPr>
              <w:t>四</w:t>
            </w:r>
          </w:p>
        </w:tc>
        <w:tc>
          <w:tcPr>
            <w:tcW w:w="8154" w:type="dxa"/>
            <w:vAlign w:val="center"/>
          </w:tcPr>
          <w:p w14:paraId="726923CC">
            <w:pPr>
              <w:spacing w:line="360" w:lineRule="auto"/>
              <w:rPr>
                <w:color w:val="000000"/>
                <w:szCs w:val="21"/>
              </w:rPr>
            </w:pPr>
            <w:r>
              <w:rPr>
                <w:rFonts w:hint="eastAsia"/>
                <w:color w:val="000000"/>
                <w:szCs w:val="21"/>
              </w:rPr>
              <w:t>业绩：</w:t>
            </w:r>
          </w:p>
          <w:p w14:paraId="33C9A6FE">
            <w:pPr>
              <w:spacing w:line="360" w:lineRule="auto"/>
              <w:rPr>
                <w:color w:val="000000"/>
                <w:szCs w:val="21"/>
              </w:rPr>
            </w:pPr>
            <w:r>
              <w:rPr>
                <w:rFonts w:hint="eastAsia"/>
                <w:color w:val="000000"/>
                <w:szCs w:val="21"/>
              </w:rPr>
              <w:t>近三年</w:t>
            </w:r>
            <w:r>
              <w:rPr>
                <w:color w:val="000000"/>
                <w:szCs w:val="21"/>
              </w:rPr>
              <w:t>每</w:t>
            </w:r>
            <w:r>
              <w:rPr>
                <w:rFonts w:hint="eastAsia"/>
                <w:color w:val="000000"/>
                <w:szCs w:val="21"/>
              </w:rPr>
              <w:t>承接并</w:t>
            </w:r>
            <w:r>
              <w:rPr>
                <w:color w:val="000000"/>
                <w:szCs w:val="21"/>
              </w:rPr>
              <w:t>完成1个类似</w:t>
            </w:r>
            <w:r>
              <w:rPr>
                <w:rFonts w:hint="eastAsia"/>
                <w:color w:val="000000"/>
                <w:szCs w:val="21"/>
              </w:rPr>
              <w:t>项目</w:t>
            </w:r>
            <w:r>
              <w:rPr>
                <w:rFonts w:hint="eastAsia"/>
                <w:szCs w:val="21"/>
              </w:rPr>
              <w:t>（佐证材料）</w:t>
            </w:r>
            <w:r>
              <w:rPr>
                <w:rFonts w:hint="eastAsia"/>
                <w:color w:val="000000"/>
                <w:szCs w:val="21"/>
              </w:rPr>
              <w:t>业绩</w:t>
            </w:r>
            <w:r>
              <w:rPr>
                <w:color w:val="000000"/>
                <w:szCs w:val="21"/>
              </w:rPr>
              <w:t>得</w:t>
            </w:r>
            <w:r>
              <w:rPr>
                <w:rFonts w:hint="eastAsia"/>
                <w:color w:val="000000"/>
                <w:szCs w:val="21"/>
                <w:lang w:val="en-US" w:eastAsia="zh-CN"/>
              </w:rPr>
              <w:t>5</w:t>
            </w:r>
            <w:r>
              <w:rPr>
                <w:color w:val="000000"/>
                <w:szCs w:val="21"/>
              </w:rPr>
              <w:t>分，最高得</w:t>
            </w:r>
            <w:r>
              <w:rPr>
                <w:rFonts w:hint="eastAsia"/>
                <w:color w:val="000000"/>
                <w:szCs w:val="21"/>
                <w:lang w:val="en-US" w:eastAsia="zh-CN"/>
              </w:rPr>
              <w:t>15</w:t>
            </w:r>
            <w:r>
              <w:rPr>
                <w:color w:val="000000"/>
                <w:szCs w:val="21"/>
              </w:rPr>
              <w:t>分；</w:t>
            </w:r>
          </w:p>
        </w:tc>
        <w:tc>
          <w:tcPr>
            <w:tcW w:w="1032" w:type="dxa"/>
            <w:vAlign w:val="center"/>
          </w:tcPr>
          <w:p w14:paraId="37F31713">
            <w:pPr>
              <w:spacing w:line="360" w:lineRule="auto"/>
              <w:jc w:val="center"/>
              <w:rPr>
                <w:rFonts w:hint="default" w:eastAsia="宋体"/>
                <w:color w:val="000000"/>
                <w:szCs w:val="21"/>
                <w:lang w:val="en-US" w:eastAsia="zh-CN"/>
              </w:rPr>
            </w:pPr>
            <w:r>
              <w:rPr>
                <w:rFonts w:hint="eastAsia"/>
                <w:color w:val="000000"/>
                <w:szCs w:val="21"/>
                <w:lang w:val="en-US" w:eastAsia="zh-CN"/>
              </w:rPr>
              <w:t>15</w:t>
            </w:r>
          </w:p>
        </w:tc>
      </w:tr>
      <w:tr w14:paraId="011B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21" w:type="dxa"/>
            <w:vAlign w:val="center"/>
          </w:tcPr>
          <w:p w14:paraId="7A280F38">
            <w:pPr>
              <w:spacing w:line="360" w:lineRule="auto"/>
              <w:jc w:val="center"/>
              <w:rPr>
                <w:rFonts w:hint="eastAsia" w:eastAsia="宋体"/>
                <w:color w:val="000000"/>
                <w:szCs w:val="21"/>
                <w:lang w:eastAsia="zh-CN"/>
              </w:rPr>
            </w:pPr>
            <w:r>
              <w:rPr>
                <w:rFonts w:hint="eastAsia"/>
                <w:color w:val="000000"/>
                <w:szCs w:val="21"/>
                <w:lang w:eastAsia="zh-CN"/>
              </w:rPr>
              <w:t>五</w:t>
            </w:r>
          </w:p>
        </w:tc>
        <w:tc>
          <w:tcPr>
            <w:tcW w:w="8154" w:type="dxa"/>
            <w:vAlign w:val="center"/>
          </w:tcPr>
          <w:p w14:paraId="210F5D0B">
            <w:pPr>
              <w:spacing w:line="360" w:lineRule="auto"/>
              <w:rPr>
                <w:color w:val="000000"/>
                <w:szCs w:val="21"/>
              </w:rPr>
            </w:pPr>
            <w:r>
              <w:rPr>
                <w:rFonts w:hint="eastAsia"/>
                <w:color w:val="000000"/>
                <w:szCs w:val="21"/>
              </w:rPr>
              <w:t>报价：</w:t>
            </w:r>
          </w:p>
          <w:p w14:paraId="7267E9AE">
            <w:pPr>
              <w:spacing w:line="360" w:lineRule="auto"/>
              <w:rPr>
                <w:color w:val="000000"/>
                <w:szCs w:val="21"/>
              </w:rPr>
            </w:pPr>
            <w:r>
              <w:rPr>
                <w:rFonts w:hint="eastAsia"/>
                <w:color w:val="000000"/>
                <w:szCs w:val="21"/>
              </w:rPr>
              <w:t>1、经比选小组评审有效的最低报价为基准价，得 20分；</w:t>
            </w:r>
          </w:p>
          <w:p w14:paraId="158CFDE6">
            <w:pPr>
              <w:spacing w:line="360" w:lineRule="auto"/>
              <w:rPr>
                <w:color w:val="000000"/>
                <w:szCs w:val="21"/>
              </w:rPr>
            </w:pPr>
            <w:r>
              <w:rPr>
                <w:rFonts w:hint="eastAsia"/>
                <w:color w:val="000000"/>
                <w:szCs w:val="21"/>
              </w:rPr>
              <w:t>2、其余有效报价得分=基准价/比选申请人报价*20。</w:t>
            </w:r>
          </w:p>
        </w:tc>
        <w:tc>
          <w:tcPr>
            <w:tcW w:w="1032" w:type="dxa"/>
            <w:vAlign w:val="center"/>
          </w:tcPr>
          <w:p w14:paraId="3C91A0C6">
            <w:pPr>
              <w:spacing w:line="360" w:lineRule="auto"/>
              <w:jc w:val="center"/>
              <w:rPr>
                <w:color w:val="000000"/>
                <w:szCs w:val="21"/>
              </w:rPr>
            </w:pPr>
            <w:r>
              <w:rPr>
                <w:rFonts w:hint="eastAsia"/>
                <w:color w:val="000000"/>
                <w:szCs w:val="21"/>
              </w:rPr>
              <w:t>2</w:t>
            </w:r>
            <w:r>
              <w:rPr>
                <w:color w:val="000000"/>
                <w:szCs w:val="21"/>
              </w:rPr>
              <w:t>0</w:t>
            </w:r>
          </w:p>
        </w:tc>
      </w:tr>
    </w:tbl>
    <w:p w14:paraId="76E2E3D9">
      <w:pPr>
        <w:spacing w:line="360" w:lineRule="auto"/>
        <w:rPr>
          <w:color w:val="000000"/>
        </w:rPr>
      </w:pPr>
      <w:r>
        <w:rPr>
          <w:rFonts w:hint="eastAsia"/>
          <w:color w:val="000000"/>
          <w:sz w:val="24"/>
        </w:rPr>
        <w:t>注：评标的名次以以上</w:t>
      </w:r>
      <w:r>
        <w:rPr>
          <w:rFonts w:hint="eastAsia"/>
          <w:color w:val="000000"/>
          <w:sz w:val="24"/>
          <w:lang w:eastAsia="zh-CN"/>
        </w:rPr>
        <w:t>五</w:t>
      </w:r>
      <w:r>
        <w:rPr>
          <w:rFonts w:hint="eastAsia"/>
          <w:color w:val="000000"/>
          <w:sz w:val="24"/>
        </w:rPr>
        <w:t>部分分数之和为准。</w:t>
      </w:r>
    </w:p>
    <w:p w14:paraId="30F3A00B">
      <w:pPr>
        <w:spacing w:line="360" w:lineRule="auto"/>
        <w:ind w:firstLine="542" w:firstLineChars="225"/>
        <w:rPr>
          <w:rFonts w:ascii="宋体"/>
          <w:b/>
          <w:color w:val="000000"/>
          <w:sz w:val="24"/>
        </w:rPr>
      </w:pPr>
      <w:r>
        <w:rPr>
          <w:rFonts w:hint="eastAsia" w:ascii="宋体"/>
          <w:b/>
          <w:color w:val="000000"/>
          <w:sz w:val="24"/>
        </w:rPr>
        <w:t>5.确定中选人</w:t>
      </w:r>
    </w:p>
    <w:p w14:paraId="3EB76844">
      <w:pPr>
        <w:spacing w:line="360" w:lineRule="auto"/>
        <w:ind w:firstLine="540" w:firstLineChars="225"/>
        <w:rPr>
          <w:rFonts w:ascii="宋体"/>
          <w:color w:val="000000"/>
          <w:sz w:val="24"/>
        </w:rPr>
      </w:pPr>
      <w:r>
        <w:rPr>
          <w:rFonts w:hint="eastAsia" w:ascii="宋体"/>
          <w:color w:val="000000"/>
          <w:sz w:val="24"/>
        </w:rPr>
        <w:t>比选小组完成评审后,向比选人书面推荐中选候选人,按综合得分由低至高排出名次,最终由比选人确定中选人,比选人应当确定排名第一的中选候选人为比选项目的中选人。</w:t>
      </w:r>
    </w:p>
    <w:p w14:paraId="6F701137">
      <w:pPr>
        <w:spacing w:line="360" w:lineRule="auto"/>
        <w:ind w:firstLine="542" w:firstLineChars="225"/>
        <w:rPr>
          <w:rFonts w:ascii="宋体"/>
          <w:b/>
          <w:color w:val="000000"/>
          <w:sz w:val="24"/>
        </w:rPr>
      </w:pPr>
      <w:r>
        <w:rPr>
          <w:rFonts w:hint="eastAsia" w:ascii="宋体"/>
          <w:b/>
          <w:color w:val="000000"/>
          <w:sz w:val="24"/>
        </w:rPr>
        <w:t>6.有下列情形之一的，应当按规定重新组织比选：</w:t>
      </w:r>
    </w:p>
    <w:p w14:paraId="4C453DD7">
      <w:pPr>
        <w:spacing w:line="360" w:lineRule="auto"/>
        <w:ind w:firstLine="540" w:firstLineChars="225"/>
        <w:rPr>
          <w:rFonts w:ascii="宋体"/>
          <w:color w:val="000000"/>
          <w:sz w:val="24"/>
        </w:rPr>
      </w:pPr>
      <w:r>
        <w:rPr>
          <w:rFonts w:hint="eastAsia" w:ascii="宋体"/>
          <w:color w:val="000000"/>
          <w:sz w:val="24"/>
        </w:rPr>
        <w:t>（1）所有比选申请人不符合比选公告规定的条件的；</w:t>
      </w:r>
    </w:p>
    <w:p w14:paraId="24030F2D">
      <w:pPr>
        <w:spacing w:line="360" w:lineRule="auto"/>
        <w:ind w:firstLine="540" w:firstLineChars="225"/>
        <w:rPr>
          <w:rFonts w:ascii="宋体"/>
          <w:color w:val="000000"/>
          <w:sz w:val="24"/>
        </w:rPr>
      </w:pPr>
      <w:r>
        <w:rPr>
          <w:rFonts w:hint="eastAsia" w:ascii="宋体"/>
          <w:color w:val="000000"/>
          <w:sz w:val="24"/>
        </w:rPr>
        <w:t>（2）比选申请人少于3家的；</w:t>
      </w:r>
    </w:p>
    <w:p w14:paraId="44FCB9F5">
      <w:pPr>
        <w:spacing w:line="360" w:lineRule="auto"/>
        <w:ind w:firstLine="542" w:firstLineChars="225"/>
        <w:rPr>
          <w:rFonts w:ascii="宋体"/>
          <w:b/>
          <w:color w:val="000000"/>
          <w:sz w:val="24"/>
        </w:rPr>
      </w:pPr>
      <w:r>
        <w:rPr>
          <w:rFonts w:hint="eastAsia" w:ascii="宋体"/>
          <w:b/>
          <w:color w:val="000000"/>
          <w:sz w:val="24"/>
        </w:rPr>
        <w:t>7.重新组织比选失败</w:t>
      </w:r>
    </w:p>
    <w:p w14:paraId="66BBD3BD">
      <w:pPr>
        <w:spacing w:line="360" w:lineRule="auto"/>
        <w:ind w:firstLine="540" w:firstLineChars="225"/>
        <w:rPr>
          <w:rFonts w:ascii="宋体"/>
          <w:color w:val="000000"/>
          <w:sz w:val="24"/>
        </w:rPr>
      </w:pPr>
      <w:r>
        <w:rPr>
          <w:rFonts w:hint="eastAsia" w:ascii="宋体"/>
          <w:color w:val="000000"/>
          <w:sz w:val="24"/>
        </w:rPr>
        <w:t>重新组织比选再次失败的，经主管部门同意后可以不再进行比选。不再比选的，由比选人直接确定承包人，但参加了比选竟争、符合比选公告规定条件的比选申请人在同等条件下享有优先权。</w:t>
      </w:r>
    </w:p>
    <w:sectPr>
      <w:headerReference r:id="rId9" w:type="first"/>
      <w:footerReference r:id="rId11" w:type="first"/>
      <w:headerReference r:id="rId8" w:type="default"/>
      <w:footerReference r:id="rId10" w:type="default"/>
      <w:pgSz w:w="11907" w:h="16839" w:orient="landscape"/>
      <w:pgMar w:top="1134" w:right="1134" w:bottom="1134" w:left="1134" w:header="737" w:footer="96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1887">
    <w:pPr>
      <w:pStyle w:val="28"/>
      <w:ind w:firstLine="560"/>
    </w:pPr>
    <w:r>
      <w:fldChar w:fldCharType="begin"/>
    </w:r>
    <w:r>
      <w:instrText xml:space="preserve">PAGE   \* MERGEFORMAT</w:instrText>
    </w:r>
    <w:r>
      <w:fldChar w:fldCharType="separate"/>
    </w:r>
    <w:r>
      <w:rPr>
        <w:lang w:val="zh-CN"/>
      </w:rPr>
      <w:t>-</w:t>
    </w:r>
    <w:r>
      <w:t xml:space="preserve"> 1 -</w:t>
    </w:r>
    <w:r>
      <w:fldChar w:fldCharType="end"/>
    </w:r>
  </w:p>
  <w:p w14:paraId="1CEFC4EB">
    <w:pPr>
      <w:pStyle w:val="28"/>
      <w:spacing w:line="200" w:lineRule="exact"/>
      <w:rPr>
        <w:rFonts w:ascii="楷体_GB2312"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4B36">
    <w:pPr>
      <w:pStyle w:val="28"/>
      <w:framePr w:wrap="around" w:vAnchor="text" w:hAnchor="margin" w:xAlign="right" w:y="1"/>
      <w:rPr>
        <w:rStyle w:val="46"/>
      </w:rPr>
    </w:pPr>
    <w:r>
      <w:fldChar w:fldCharType="begin"/>
    </w:r>
    <w:r>
      <w:rPr>
        <w:rStyle w:val="46"/>
      </w:rPr>
      <w:instrText xml:space="preserve">PAGE  </w:instrText>
    </w:r>
    <w:r>
      <w:fldChar w:fldCharType="separate"/>
    </w:r>
    <w:r>
      <w:rPr>
        <w:rStyle w:val="46"/>
      </w:rPr>
      <w:t>- 16 -</w:t>
    </w:r>
    <w:r>
      <w:fldChar w:fldCharType="end"/>
    </w:r>
  </w:p>
  <w:p w14:paraId="1925BC74">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7D97">
    <w:pPr>
      <w:pStyle w:val="28"/>
      <w:ind w:firstLine="560"/>
    </w:pPr>
    <w:r>
      <w:fldChar w:fldCharType="begin"/>
    </w:r>
    <w:r>
      <w:instrText xml:space="preserve">PAGE   \* MERGEFORMAT</w:instrText>
    </w:r>
    <w:r>
      <w:fldChar w:fldCharType="separate"/>
    </w:r>
    <w:r>
      <w:rPr>
        <w:lang w:val="zh-CN"/>
      </w:rPr>
      <w:t>-</w:t>
    </w:r>
    <w:r>
      <w:t xml:space="preserve"> 17 -</w:t>
    </w:r>
    <w:r>
      <w:fldChar w:fldCharType="end"/>
    </w:r>
  </w:p>
  <w:p w14:paraId="472BCAFE">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716C">
    <w:pPr>
      <w:pStyle w:val="28"/>
      <w:framePr w:wrap="around" w:vAnchor="text" w:hAnchor="margin" w:xAlign="right" w:y="1"/>
      <w:rPr>
        <w:rStyle w:val="46"/>
      </w:rPr>
    </w:pPr>
    <w:r>
      <w:fldChar w:fldCharType="begin"/>
    </w:r>
    <w:r>
      <w:rPr>
        <w:rStyle w:val="46"/>
      </w:rPr>
      <w:instrText xml:space="preserve">PAGE  </w:instrText>
    </w:r>
    <w:r>
      <w:fldChar w:fldCharType="separate"/>
    </w:r>
    <w:r>
      <w:rPr>
        <w:rStyle w:val="46"/>
      </w:rPr>
      <w:t>- 1 -</w:t>
    </w:r>
    <w:r>
      <w:fldChar w:fldCharType="end"/>
    </w:r>
  </w:p>
  <w:p w14:paraId="4724A2A4">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95E2">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4DECD">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CE337">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51DB">
    <w:pPr>
      <w:pStyle w:val="29"/>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EFFC2">
    <w:pPr>
      <w:pStyle w:val="2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9FEAE"/>
    <w:multiLevelType w:val="singleLevel"/>
    <w:tmpl w:val="DC99FEAE"/>
    <w:lvl w:ilvl="0" w:tentative="0">
      <w:start w:val="1"/>
      <w:numFmt w:val="decimal"/>
      <w:suff w:val="nothing"/>
      <w:lvlText w:val="%1、"/>
      <w:lvlJc w:val="left"/>
    </w:lvl>
  </w:abstractNum>
  <w:abstractNum w:abstractNumId="1">
    <w:nsid w:val="1DB8649D"/>
    <w:multiLevelType w:val="multilevel"/>
    <w:tmpl w:val="1DB8649D"/>
    <w:lvl w:ilvl="0" w:tentative="0">
      <w:start w:val="1"/>
      <w:numFmt w:val="bullet"/>
      <w:pStyle w:val="40"/>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371A0FAB"/>
    <w:multiLevelType w:val="multilevel"/>
    <w:tmpl w:val="371A0FAB"/>
    <w:lvl w:ilvl="0" w:tentative="0">
      <w:start w:val="1"/>
      <w:numFmt w:val="bullet"/>
      <w:lvlText w:val=""/>
      <w:lvlJc w:val="left"/>
      <w:pPr>
        <w:tabs>
          <w:tab w:val="left" w:pos="1219"/>
        </w:tabs>
        <w:ind w:left="1219" w:hanging="420"/>
      </w:pPr>
      <w:rPr>
        <w:rFonts w:hint="default" w:ascii="Wingdings" w:hAnsi="Wingdings"/>
      </w:rPr>
    </w:lvl>
    <w:lvl w:ilvl="1" w:tentative="0">
      <w:start w:val="1"/>
      <w:numFmt w:val="bullet"/>
      <w:lvlText w:val=""/>
      <w:lvlJc w:val="left"/>
      <w:pPr>
        <w:tabs>
          <w:tab w:val="left" w:pos="1639"/>
        </w:tabs>
        <w:ind w:left="1639" w:hanging="420"/>
      </w:pPr>
      <w:rPr>
        <w:rFonts w:hint="default" w:ascii="Wingdings" w:hAnsi="Wingdings"/>
      </w:rPr>
    </w:lvl>
    <w:lvl w:ilvl="2" w:tentative="0">
      <w:start w:val="1"/>
      <w:numFmt w:val="bullet"/>
      <w:lvlText w:val=""/>
      <w:lvlJc w:val="left"/>
      <w:pPr>
        <w:tabs>
          <w:tab w:val="left" w:pos="2059"/>
        </w:tabs>
        <w:ind w:left="2059" w:hanging="420"/>
      </w:pPr>
      <w:rPr>
        <w:rFonts w:hint="default" w:ascii="Wingdings" w:hAnsi="Wingdings"/>
      </w:rPr>
    </w:lvl>
    <w:lvl w:ilvl="3" w:tentative="0">
      <w:start w:val="1"/>
      <w:numFmt w:val="bullet"/>
      <w:lvlText w:val=""/>
      <w:lvlJc w:val="left"/>
      <w:pPr>
        <w:tabs>
          <w:tab w:val="left" w:pos="2479"/>
        </w:tabs>
        <w:ind w:left="2479" w:hanging="420"/>
      </w:pPr>
      <w:rPr>
        <w:rFonts w:hint="default" w:ascii="Wingdings" w:hAnsi="Wingdings"/>
      </w:rPr>
    </w:lvl>
    <w:lvl w:ilvl="4" w:tentative="0">
      <w:start w:val="1"/>
      <w:numFmt w:val="bullet"/>
      <w:lvlText w:val=""/>
      <w:lvlJc w:val="left"/>
      <w:pPr>
        <w:tabs>
          <w:tab w:val="left" w:pos="2899"/>
        </w:tabs>
        <w:ind w:left="2899" w:hanging="420"/>
      </w:pPr>
      <w:rPr>
        <w:rFonts w:hint="default" w:ascii="Wingdings" w:hAnsi="Wingdings"/>
      </w:rPr>
    </w:lvl>
    <w:lvl w:ilvl="5" w:tentative="0">
      <w:start w:val="1"/>
      <w:numFmt w:val="bullet"/>
      <w:lvlText w:val=""/>
      <w:lvlJc w:val="left"/>
      <w:pPr>
        <w:tabs>
          <w:tab w:val="left" w:pos="3319"/>
        </w:tabs>
        <w:ind w:left="3319" w:hanging="420"/>
      </w:pPr>
      <w:rPr>
        <w:rFonts w:hint="default" w:ascii="Wingdings" w:hAnsi="Wingdings"/>
      </w:rPr>
    </w:lvl>
    <w:lvl w:ilvl="6" w:tentative="0">
      <w:start w:val="1"/>
      <w:numFmt w:val="bullet"/>
      <w:lvlText w:val=""/>
      <w:lvlJc w:val="left"/>
      <w:pPr>
        <w:tabs>
          <w:tab w:val="left" w:pos="3739"/>
        </w:tabs>
        <w:ind w:left="3739" w:hanging="420"/>
      </w:pPr>
      <w:rPr>
        <w:rFonts w:hint="default" w:ascii="Wingdings" w:hAnsi="Wingdings"/>
      </w:rPr>
    </w:lvl>
    <w:lvl w:ilvl="7" w:tentative="0">
      <w:start w:val="1"/>
      <w:numFmt w:val="bullet"/>
      <w:lvlText w:val=""/>
      <w:lvlJc w:val="left"/>
      <w:pPr>
        <w:tabs>
          <w:tab w:val="left" w:pos="4159"/>
        </w:tabs>
        <w:ind w:left="4159" w:hanging="420"/>
      </w:pPr>
      <w:rPr>
        <w:rFonts w:hint="default" w:ascii="Wingdings" w:hAnsi="Wingdings"/>
      </w:rPr>
    </w:lvl>
    <w:lvl w:ilvl="8" w:tentative="0">
      <w:start w:val="1"/>
      <w:numFmt w:val="bullet"/>
      <w:lvlText w:val=""/>
      <w:lvlJc w:val="left"/>
      <w:pPr>
        <w:tabs>
          <w:tab w:val="left" w:pos="4579"/>
        </w:tabs>
        <w:ind w:left="4579" w:hanging="420"/>
      </w:pPr>
      <w:rPr>
        <w:rFonts w:hint="default" w:ascii="Wingdings" w:hAnsi="Wingdings"/>
      </w:rPr>
    </w:lvl>
  </w:abstractNum>
  <w:abstractNum w:abstractNumId="3">
    <w:nsid w:val="373F3BA3"/>
    <w:multiLevelType w:val="multilevel"/>
    <w:tmpl w:val="373F3BA3"/>
    <w:lvl w:ilvl="0" w:tentative="0">
      <w:start w:val="1"/>
      <w:numFmt w:val="bullet"/>
      <w:lvlText w:val=""/>
      <w:lvlJc w:val="left"/>
      <w:pPr>
        <w:tabs>
          <w:tab w:val="left" w:pos="920"/>
        </w:tabs>
        <w:ind w:left="920" w:hanging="420"/>
      </w:pPr>
      <w:rPr>
        <w:rFonts w:hint="default" w:ascii="Wingdings" w:hAnsi="Wingdings"/>
      </w:rPr>
    </w:lvl>
    <w:lvl w:ilvl="1" w:tentative="0">
      <w:start w:val="1"/>
      <w:numFmt w:val="bullet"/>
      <w:lvlText w:val=""/>
      <w:lvlJc w:val="left"/>
      <w:pPr>
        <w:tabs>
          <w:tab w:val="left" w:pos="1340"/>
        </w:tabs>
        <w:ind w:left="1340" w:hanging="420"/>
      </w:pPr>
      <w:rPr>
        <w:rFonts w:hint="default" w:ascii="Wingdings" w:hAnsi="Wingdings"/>
      </w:rPr>
    </w:lvl>
    <w:lvl w:ilvl="2" w:tentative="0">
      <w:start w:val="1"/>
      <w:numFmt w:val="bullet"/>
      <w:lvlText w:val=""/>
      <w:lvlJc w:val="left"/>
      <w:pPr>
        <w:tabs>
          <w:tab w:val="left" w:pos="1760"/>
        </w:tabs>
        <w:ind w:left="1760" w:hanging="420"/>
      </w:pPr>
      <w:rPr>
        <w:rFonts w:hint="default" w:ascii="Wingdings" w:hAnsi="Wingdings"/>
      </w:rPr>
    </w:lvl>
    <w:lvl w:ilvl="3" w:tentative="0">
      <w:start w:val="1"/>
      <w:numFmt w:val="bullet"/>
      <w:lvlText w:val=""/>
      <w:lvlJc w:val="left"/>
      <w:pPr>
        <w:tabs>
          <w:tab w:val="left" w:pos="2180"/>
        </w:tabs>
        <w:ind w:left="2180" w:hanging="420"/>
      </w:pPr>
      <w:rPr>
        <w:rFonts w:hint="default" w:ascii="Wingdings" w:hAnsi="Wingdings"/>
      </w:rPr>
    </w:lvl>
    <w:lvl w:ilvl="4" w:tentative="0">
      <w:start w:val="1"/>
      <w:numFmt w:val="bullet"/>
      <w:lvlText w:val=""/>
      <w:lvlJc w:val="left"/>
      <w:pPr>
        <w:tabs>
          <w:tab w:val="left" w:pos="2600"/>
        </w:tabs>
        <w:ind w:left="2600" w:hanging="420"/>
      </w:pPr>
      <w:rPr>
        <w:rFonts w:hint="default" w:ascii="Wingdings" w:hAnsi="Wingdings"/>
      </w:rPr>
    </w:lvl>
    <w:lvl w:ilvl="5" w:tentative="0">
      <w:start w:val="1"/>
      <w:numFmt w:val="bullet"/>
      <w:lvlText w:val=""/>
      <w:lvlJc w:val="left"/>
      <w:pPr>
        <w:tabs>
          <w:tab w:val="left" w:pos="3020"/>
        </w:tabs>
        <w:ind w:left="3020" w:hanging="420"/>
      </w:pPr>
      <w:rPr>
        <w:rFonts w:hint="default" w:ascii="Wingdings" w:hAnsi="Wingdings"/>
      </w:rPr>
    </w:lvl>
    <w:lvl w:ilvl="6" w:tentative="0">
      <w:start w:val="1"/>
      <w:numFmt w:val="bullet"/>
      <w:lvlText w:val=""/>
      <w:lvlJc w:val="left"/>
      <w:pPr>
        <w:tabs>
          <w:tab w:val="left" w:pos="3440"/>
        </w:tabs>
        <w:ind w:left="3440" w:hanging="420"/>
      </w:pPr>
      <w:rPr>
        <w:rFonts w:hint="default" w:ascii="Wingdings" w:hAnsi="Wingdings"/>
      </w:rPr>
    </w:lvl>
    <w:lvl w:ilvl="7" w:tentative="0">
      <w:start w:val="1"/>
      <w:numFmt w:val="bullet"/>
      <w:lvlText w:val=""/>
      <w:lvlJc w:val="left"/>
      <w:pPr>
        <w:tabs>
          <w:tab w:val="left" w:pos="3860"/>
        </w:tabs>
        <w:ind w:left="3860" w:hanging="420"/>
      </w:pPr>
      <w:rPr>
        <w:rFonts w:hint="default" w:ascii="Wingdings" w:hAnsi="Wingdings"/>
      </w:rPr>
    </w:lvl>
    <w:lvl w:ilvl="8" w:tentative="0">
      <w:start w:val="1"/>
      <w:numFmt w:val="bullet"/>
      <w:lvlText w:val=""/>
      <w:lvlJc w:val="left"/>
      <w:pPr>
        <w:tabs>
          <w:tab w:val="left" w:pos="4280"/>
        </w:tabs>
        <w:ind w:left="4280" w:hanging="420"/>
      </w:pPr>
      <w:rPr>
        <w:rFonts w:hint="default" w:ascii="Wingdings" w:hAnsi="Wingdings"/>
      </w:rPr>
    </w:lvl>
  </w:abstractNum>
  <w:abstractNum w:abstractNumId="4">
    <w:nsid w:val="509107F0"/>
    <w:multiLevelType w:val="multilevel"/>
    <w:tmpl w:val="509107F0"/>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
    <w:nsid w:val="5386F156"/>
    <w:multiLevelType w:val="multilevel"/>
    <w:tmpl w:val="5386F156"/>
    <w:lvl w:ilvl="0" w:tentative="0">
      <w:start w:val="1"/>
      <w:numFmt w:val="upperLetter"/>
      <w:pStyle w:val="134"/>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7">
    <w:nsid w:val="70816582"/>
    <w:multiLevelType w:val="multilevel"/>
    <w:tmpl w:val="70816582"/>
    <w:lvl w:ilvl="0" w:tentative="0">
      <w:start w:val="10"/>
      <w:numFmt w:val="decimal"/>
      <w:pStyle w:val="100"/>
      <w:lvlText w:val="%1"/>
      <w:lvlJc w:val="left"/>
      <w:pPr>
        <w:tabs>
          <w:tab w:val="left" w:pos="420"/>
        </w:tabs>
        <w:ind w:left="420" w:hanging="420"/>
      </w:pPr>
      <w:rPr>
        <w:rFonts w:hint="eastAsia" w:ascii="宋体" w:hAnsi="宋体"/>
        <w:b/>
        <w:sz w:val="24"/>
      </w:rPr>
    </w:lvl>
    <w:lvl w:ilvl="1" w:tentative="0">
      <w:start w:val="5"/>
      <w:numFmt w:val="decimal"/>
      <w:lvlText w:val="%1.%2"/>
      <w:lvlJc w:val="left"/>
      <w:pPr>
        <w:tabs>
          <w:tab w:val="left" w:pos="810"/>
        </w:tabs>
        <w:ind w:left="810" w:hanging="420"/>
      </w:pPr>
      <w:rPr>
        <w:rFonts w:hint="eastAsia" w:ascii="宋体" w:hAnsi="宋体"/>
        <w:b/>
        <w:sz w:val="24"/>
      </w:rPr>
    </w:lvl>
    <w:lvl w:ilvl="2" w:tentative="0">
      <w:start w:val="1"/>
      <w:numFmt w:val="decimal"/>
      <w:pStyle w:val="79"/>
      <w:lvlText w:val="%1.%2.%3"/>
      <w:lvlJc w:val="left"/>
      <w:pPr>
        <w:tabs>
          <w:tab w:val="left" w:pos="1500"/>
        </w:tabs>
        <w:ind w:left="1500" w:hanging="720"/>
      </w:pPr>
      <w:rPr>
        <w:rFonts w:hint="eastAsia" w:ascii="宋体" w:hAnsi="宋体"/>
        <w:b/>
        <w:sz w:val="24"/>
      </w:rPr>
    </w:lvl>
    <w:lvl w:ilvl="3" w:tentative="0">
      <w:start w:val="1"/>
      <w:numFmt w:val="decimal"/>
      <w:lvlText w:val="%1.%2.%3.%4"/>
      <w:lvlJc w:val="left"/>
      <w:pPr>
        <w:tabs>
          <w:tab w:val="left" w:pos="1890"/>
        </w:tabs>
        <w:ind w:left="1890" w:hanging="720"/>
      </w:pPr>
      <w:rPr>
        <w:rFonts w:hint="eastAsia" w:ascii="宋体" w:hAnsi="宋体"/>
        <w:b/>
        <w:sz w:val="24"/>
      </w:rPr>
    </w:lvl>
    <w:lvl w:ilvl="4" w:tentative="0">
      <w:start w:val="1"/>
      <w:numFmt w:val="decimal"/>
      <w:lvlText w:val="%1.%2.%3.%4.%5"/>
      <w:lvlJc w:val="left"/>
      <w:pPr>
        <w:tabs>
          <w:tab w:val="left" w:pos="2640"/>
        </w:tabs>
        <w:ind w:left="2640" w:hanging="1080"/>
      </w:pPr>
      <w:rPr>
        <w:rFonts w:hint="eastAsia" w:ascii="宋体" w:hAnsi="宋体"/>
        <w:b/>
        <w:sz w:val="24"/>
      </w:rPr>
    </w:lvl>
    <w:lvl w:ilvl="5" w:tentative="0">
      <w:start w:val="1"/>
      <w:numFmt w:val="decimal"/>
      <w:lvlText w:val="%1.%2.%3.%4.%5.%6"/>
      <w:lvlJc w:val="left"/>
      <w:pPr>
        <w:tabs>
          <w:tab w:val="left" w:pos="3030"/>
        </w:tabs>
        <w:ind w:left="3030" w:hanging="1080"/>
      </w:pPr>
      <w:rPr>
        <w:rFonts w:hint="eastAsia" w:ascii="宋体" w:hAnsi="宋体"/>
        <w:b/>
        <w:sz w:val="24"/>
      </w:rPr>
    </w:lvl>
    <w:lvl w:ilvl="6" w:tentative="0">
      <w:start w:val="1"/>
      <w:numFmt w:val="decimal"/>
      <w:lvlText w:val="%1.%2.%3.%4.%5.%6.%7"/>
      <w:lvlJc w:val="left"/>
      <w:pPr>
        <w:tabs>
          <w:tab w:val="left" w:pos="3420"/>
        </w:tabs>
        <w:ind w:left="3420" w:hanging="1080"/>
      </w:pPr>
      <w:rPr>
        <w:rFonts w:hint="eastAsia" w:ascii="宋体" w:hAnsi="宋体"/>
        <w:b/>
        <w:sz w:val="24"/>
      </w:rPr>
    </w:lvl>
    <w:lvl w:ilvl="7" w:tentative="0">
      <w:start w:val="1"/>
      <w:numFmt w:val="decimal"/>
      <w:lvlText w:val="%1.%2.%3.%4.%5.%6.%7.%8"/>
      <w:lvlJc w:val="left"/>
      <w:pPr>
        <w:tabs>
          <w:tab w:val="left" w:pos="4170"/>
        </w:tabs>
        <w:ind w:left="4170" w:hanging="1440"/>
      </w:pPr>
      <w:rPr>
        <w:rFonts w:hint="eastAsia" w:ascii="宋体" w:hAnsi="宋体"/>
        <w:b/>
        <w:sz w:val="24"/>
      </w:rPr>
    </w:lvl>
    <w:lvl w:ilvl="8" w:tentative="0">
      <w:start w:val="1"/>
      <w:numFmt w:val="decimal"/>
      <w:lvlText w:val="%1.%2.%3.%4.%5.%6.%7.%8.%9"/>
      <w:lvlJc w:val="left"/>
      <w:pPr>
        <w:tabs>
          <w:tab w:val="left" w:pos="4560"/>
        </w:tabs>
        <w:ind w:left="4560" w:hanging="1440"/>
      </w:pPr>
      <w:rPr>
        <w:rFonts w:hint="eastAsia" w:ascii="宋体" w:hAnsi="宋体"/>
        <w:b/>
        <w:sz w:val="24"/>
      </w:rPr>
    </w:lvl>
  </w:abstractNum>
  <w:num w:numId="1">
    <w:abstractNumId w:val="6"/>
  </w:num>
  <w:num w:numId="2">
    <w:abstractNumId w:val="1"/>
  </w:num>
  <w:num w:numId="3">
    <w:abstractNumId w:val="7"/>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bookFoldPrinting w:val="1"/>
  <w:bookFoldPrintingSheets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4OTdlNzMzOWE1MzMyNzU5MGFjZmVjMmExODBhOTQifQ=="/>
  </w:docVars>
  <w:rsids>
    <w:rsidRoot w:val="00172A27"/>
    <w:rsid w:val="00003BC6"/>
    <w:rsid w:val="00032832"/>
    <w:rsid w:val="000408E8"/>
    <w:rsid w:val="00042E12"/>
    <w:rsid w:val="00055F0D"/>
    <w:rsid w:val="000A0CAE"/>
    <w:rsid w:val="001118C5"/>
    <w:rsid w:val="001162F1"/>
    <w:rsid w:val="00132EA3"/>
    <w:rsid w:val="00152472"/>
    <w:rsid w:val="00155E6F"/>
    <w:rsid w:val="00167D4C"/>
    <w:rsid w:val="00172A27"/>
    <w:rsid w:val="001A3A37"/>
    <w:rsid w:val="001E2656"/>
    <w:rsid w:val="00250AFB"/>
    <w:rsid w:val="002A336D"/>
    <w:rsid w:val="002B0A2A"/>
    <w:rsid w:val="002C75A9"/>
    <w:rsid w:val="002D5F79"/>
    <w:rsid w:val="00314105"/>
    <w:rsid w:val="00315269"/>
    <w:rsid w:val="003450DB"/>
    <w:rsid w:val="00360786"/>
    <w:rsid w:val="00366367"/>
    <w:rsid w:val="003B52CC"/>
    <w:rsid w:val="004070FA"/>
    <w:rsid w:val="00425728"/>
    <w:rsid w:val="00457628"/>
    <w:rsid w:val="00487661"/>
    <w:rsid w:val="00493C9F"/>
    <w:rsid w:val="004A499D"/>
    <w:rsid w:val="004B39D5"/>
    <w:rsid w:val="004B499F"/>
    <w:rsid w:val="004F4A36"/>
    <w:rsid w:val="0054091F"/>
    <w:rsid w:val="00565990"/>
    <w:rsid w:val="005C52F2"/>
    <w:rsid w:val="005D059C"/>
    <w:rsid w:val="005E7665"/>
    <w:rsid w:val="0061540E"/>
    <w:rsid w:val="00621182"/>
    <w:rsid w:val="006A34D6"/>
    <w:rsid w:val="006B4DD5"/>
    <w:rsid w:val="006D16DE"/>
    <w:rsid w:val="006D3E92"/>
    <w:rsid w:val="00715327"/>
    <w:rsid w:val="0071788C"/>
    <w:rsid w:val="00773054"/>
    <w:rsid w:val="0078689D"/>
    <w:rsid w:val="007D0692"/>
    <w:rsid w:val="007F6D01"/>
    <w:rsid w:val="008149B5"/>
    <w:rsid w:val="008207F5"/>
    <w:rsid w:val="00837415"/>
    <w:rsid w:val="0085128D"/>
    <w:rsid w:val="008667F6"/>
    <w:rsid w:val="00870026"/>
    <w:rsid w:val="0089009E"/>
    <w:rsid w:val="008B5912"/>
    <w:rsid w:val="008B796F"/>
    <w:rsid w:val="008E0EF6"/>
    <w:rsid w:val="008E75F1"/>
    <w:rsid w:val="008F3B8A"/>
    <w:rsid w:val="00934D9D"/>
    <w:rsid w:val="00940563"/>
    <w:rsid w:val="00945428"/>
    <w:rsid w:val="00945D46"/>
    <w:rsid w:val="0096086B"/>
    <w:rsid w:val="00975DC5"/>
    <w:rsid w:val="0098179F"/>
    <w:rsid w:val="00983C95"/>
    <w:rsid w:val="00987CFD"/>
    <w:rsid w:val="009A5468"/>
    <w:rsid w:val="009E7A43"/>
    <w:rsid w:val="00A257B1"/>
    <w:rsid w:val="00A36190"/>
    <w:rsid w:val="00A46062"/>
    <w:rsid w:val="00A50479"/>
    <w:rsid w:val="00A51F56"/>
    <w:rsid w:val="00A71D96"/>
    <w:rsid w:val="00A7646D"/>
    <w:rsid w:val="00A81535"/>
    <w:rsid w:val="00A908E2"/>
    <w:rsid w:val="00A94F19"/>
    <w:rsid w:val="00A952A2"/>
    <w:rsid w:val="00AD25F4"/>
    <w:rsid w:val="00AD4822"/>
    <w:rsid w:val="00AD79EF"/>
    <w:rsid w:val="00AF6CAC"/>
    <w:rsid w:val="00B0290A"/>
    <w:rsid w:val="00B536F4"/>
    <w:rsid w:val="00B64941"/>
    <w:rsid w:val="00BB01F9"/>
    <w:rsid w:val="00BF2642"/>
    <w:rsid w:val="00BF4745"/>
    <w:rsid w:val="00BF6F0B"/>
    <w:rsid w:val="00C2192F"/>
    <w:rsid w:val="00C9110D"/>
    <w:rsid w:val="00CB0DB1"/>
    <w:rsid w:val="00CD41A6"/>
    <w:rsid w:val="00CF2CD2"/>
    <w:rsid w:val="00D17946"/>
    <w:rsid w:val="00D259A9"/>
    <w:rsid w:val="00D73627"/>
    <w:rsid w:val="00E163B1"/>
    <w:rsid w:val="00E45AA0"/>
    <w:rsid w:val="00E67280"/>
    <w:rsid w:val="00EF72BD"/>
    <w:rsid w:val="00F12D46"/>
    <w:rsid w:val="00F75AE2"/>
    <w:rsid w:val="00FA002A"/>
    <w:rsid w:val="00FA5E73"/>
    <w:rsid w:val="00FB162F"/>
    <w:rsid w:val="00FB1CCA"/>
    <w:rsid w:val="093219AB"/>
    <w:rsid w:val="094935B9"/>
    <w:rsid w:val="0A8C1CBA"/>
    <w:rsid w:val="0A986963"/>
    <w:rsid w:val="0BE7621A"/>
    <w:rsid w:val="0CB563F5"/>
    <w:rsid w:val="0CBC3197"/>
    <w:rsid w:val="0F560A3C"/>
    <w:rsid w:val="111417BB"/>
    <w:rsid w:val="1314529B"/>
    <w:rsid w:val="139B3219"/>
    <w:rsid w:val="13C05D7D"/>
    <w:rsid w:val="13FD4C4D"/>
    <w:rsid w:val="15E05DB5"/>
    <w:rsid w:val="175E0F34"/>
    <w:rsid w:val="18B211B4"/>
    <w:rsid w:val="19B6748C"/>
    <w:rsid w:val="1A420D78"/>
    <w:rsid w:val="1A7B366C"/>
    <w:rsid w:val="1AA1636C"/>
    <w:rsid w:val="1C99794E"/>
    <w:rsid w:val="1CEF0582"/>
    <w:rsid w:val="1F244474"/>
    <w:rsid w:val="1F3E51E5"/>
    <w:rsid w:val="20953994"/>
    <w:rsid w:val="210E5779"/>
    <w:rsid w:val="224710E6"/>
    <w:rsid w:val="282F697C"/>
    <w:rsid w:val="29C407E4"/>
    <w:rsid w:val="29EB3A36"/>
    <w:rsid w:val="2B9A03A4"/>
    <w:rsid w:val="2E685348"/>
    <w:rsid w:val="31405280"/>
    <w:rsid w:val="31574101"/>
    <w:rsid w:val="34352078"/>
    <w:rsid w:val="34FA6F87"/>
    <w:rsid w:val="35322E82"/>
    <w:rsid w:val="35EB0638"/>
    <w:rsid w:val="3793E89A"/>
    <w:rsid w:val="3979139F"/>
    <w:rsid w:val="3AB71867"/>
    <w:rsid w:val="3B6B61FE"/>
    <w:rsid w:val="3CF15B67"/>
    <w:rsid w:val="3DEB4AA0"/>
    <w:rsid w:val="3DFFB852"/>
    <w:rsid w:val="3E4E11E7"/>
    <w:rsid w:val="3E6D1878"/>
    <w:rsid w:val="3E992072"/>
    <w:rsid w:val="402972E9"/>
    <w:rsid w:val="4183541E"/>
    <w:rsid w:val="420460B1"/>
    <w:rsid w:val="43CD389B"/>
    <w:rsid w:val="441F17E0"/>
    <w:rsid w:val="445036A2"/>
    <w:rsid w:val="461F24A0"/>
    <w:rsid w:val="46EB4CD7"/>
    <w:rsid w:val="480E2EA9"/>
    <w:rsid w:val="4AB60D8C"/>
    <w:rsid w:val="4BA5721B"/>
    <w:rsid w:val="4BB90FE5"/>
    <w:rsid w:val="4BC43438"/>
    <w:rsid w:val="4C075B7B"/>
    <w:rsid w:val="4D16694D"/>
    <w:rsid w:val="4EA759D1"/>
    <w:rsid w:val="50641132"/>
    <w:rsid w:val="5072660F"/>
    <w:rsid w:val="50844048"/>
    <w:rsid w:val="52685E0C"/>
    <w:rsid w:val="538F8C28"/>
    <w:rsid w:val="559F5012"/>
    <w:rsid w:val="55B6483E"/>
    <w:rsid w:val="55F8006D"/>
    <w:rsid w:val="56F54405"/>
    <w:rsid w:val="575FAC8B"/>
    <w:rsid w:val="58D27028"/>
    <w:rsid w:val="5A936881"/>
    <w:rsid w:val="5CD66C14"/>
    <w:rsid w:val="5E77DDF9"/>
    <w:rsid w:val="5FF6301A"/>
    <w:rsid w:val="5FFE9842"/>
    <w:rsid w:val="623829D8"/>
    <w:rsid w:val="6303164F"/>
    <w:rsid w:val="642F4A6F"/>
    <w:rsid w:val="64E5278C"/>
    <w:rsid w:val="651202CF"/>
    <w:rsid w:val="66A33C13"/>
    <w:rsid w:val="66FE44EC"/>
    <w:rsid w:val="67084219"/>
    <w:rsid w:val="68A13DAA"/>
    <w:rsid w:val="68D83300"/>
    <w:rsid w:val="691423E0"/>
    <w:rsid w:val="69256789"/>
    <w:rsid w:val="69FF2E20"/>
    <w:rsid w:val="6BB63EE7"/>
    <w:rsid w:val="6BF7CF93"/>
    <w:rsid w:val="6D2F5E28"/>
    <w:rsid w:val="6E9DBAA4"/>
    <w:rsid w:val="6EBD4C55"/>
    <w:rsid w:val="6FCE430C"/>
    <w:rsid w:val="6FFBD2F4"/>
    <w:rsid w:val="7019458B"/>
    <w:rsid w:val="70970149"/>
    <w:rsid w:val="71FF9E28"/>
    <w:rsid w:val="7462751D"/>
    <w:rsid w:val="746658A3"/>
    <w:rsid w:val="76492D2D"/>
    <w:rsid w:val="76BF791B"/>
    <w:rsid w:val="781100C0"/>
    <w:rsid w:val="79156830"/>
    <w:rsid w:val="79315B78"/>
    <w:rsid w:val="79B65D03"/>
    <w:rsid w:val="7B193C74"/>
    <w:rsid w:val="7BF772A1"/>
    <w:rsid w:val="7C4506E5"/>
    <w:rsid w:val="7DBC52D5"/>
    <w:rsid w:val="7DDE5CF7"/>
    <w:rsid w:val="7DEE00AA"/>
    <w:rsid w:val="7ECE3907"/>
    <w:rsid w:val="7F52F3E4"/>
    <w:rsid w:val="7FFBEB29"/>
    <w:rsid w:val="8FFD8001"/>
    <w:rsid w:val="A7E18255"/>
    <w:rsid w:val="BAF7AEA3"/>
    <w:rsid w:val="C7FF1917"/>
    <w:rsid w:val="CFFB1451"/>
    <w:rsid w:val="DD66F316"/>
    <w:rsid w:val="DD78194F"/>
    <w:rsid w:val="E4EDDE58"/>
    <w:rsid w:val="ED7F3031"/>
    <w:rsid w:val="EFD3025B"/>
    <w:rsid w:val="F42E606F"/>
    <w:rsid w:val="F69F49A3"/>
    <w:rsid w:val="F9BD22D6"/>
    <w:rsid w:val="FA3B8202"/>
    <w:rsid w:val="FBF5DFC7"/>
    <w:rsid w:val="FDF5B39C"/>
    <w:rsid w:val="FEBED1D6"/>
    <w:rsid w:val="FED91941"/>
    <w:rsid w:val="FF1D4A4C"/>
    <w:rsid w:val="FFBFE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5" w:lineRule="auto"/>
      <w:jc w:val="center"/>
      <w:outlineLvl w:val="1"/>
    </w:pPr>
    <w:rPr>
      <w:rFonts w:ascii="Arial" w:hAnsi="Arial" w:eastAsia="黑体"/>
      <w:b/>
      <w:kern w:val="0"/>
      <w:sz w:val="36"/>
      <w:szCs w:val="20"/>
    </w:rPr>
  </w:style>
  <w:style w:type="paragraph" w:styleId="5">
    <w:name w:val="heading 3"/>
    <w:basedOn w:val="1"/>
    <w:next w:val="4"/>
    <w:qFormat/>
    <w:uiPriority w:val="0"/>
    <w:pPr>
      <w:keepNext/>
      <w:keepLines/>
      <w:widowControl/>
      <w:spacing w:before="120" w:after="120" w:line="360" w:lineRule="auto"/>
      <w:jc w:val="center"/>
      <w:outlineLvl w:val="2"/>
    </w:pPr>
    <w:rPr>
      <w:b/>
      <w:kern w:val="0"/>
      <w:sz w:val="32"/>
      <w:szCs w:val="20"/>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ascii="宋体"/>
      <w:b/>
      <w:kern w:val="0"/>
      <w:sz w:val="24"/>
      <w:szCs w:val="20"/>
    </w:rPr>
  </w:style>
  <w:style w:type="paragraph" w:styleId="8">
    <w:name w:val="heading 6"/>
    <w:basedOn w:val="1"/>
    <w:next w:val="1"/>
    <w:qFormat/>
    <w:uiPriority w:val="0"/>
    <w:pPr>
      <w:keepNext/>
      <w:keepLines/>
      <w:widowControl/>
      <w:numPr>
        <w:ilvl w:val="5"/>
        <w:numId w:val="1"/>
      </w:numPr>
      <w:spacing w:before="240" w:after="64" w:line="319" w:lineRule="auto"/>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numPr>
        <w:ilvl w:val="6"/>
        <w:numId w:val="1"/>
      </w:numPr>
      <w:spacing w:before="240" w:after="64" w:line="319" w:lineRule="auto"/>
      <w:jc w:val="left"/>
      <w:outlineLvl w:val="6"/>
    </w:pPr>
    <w:rPr>
      <w:b/>
      <w:bCs/>
      <w:kern w:val="0"/>
      <w:sz w:val="24"/>
    </w:rPr>
  </w:style>
  <w:style w:type="paragraph" w:styleId="10">
    <w:name w:val="heading 8"/>
    <w:basedOn w:val="1"/>
    <w:next w:val="1"/>
    <w:qFormat/>
    <w:uiPriority w:val="0"/>
    <w:pPr>
      <w:keepNext/>
      <w:keepLines/>
      <w:widowControl/>
      <w:numPr>
        <w:ilvl w:val="7"/>
        <w:numId w:val="1"/>
      </w:numPr>
      <w:spacing w:before="240" w:after="64" w:line="319"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numPr>
        <w:ilvl w:val="8"/>
        <w:numId w:val="1"/>
      </w:numPr>
      <w:spacing w:before="240" w:after="64" w:line="319"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12">
    <w:name w:val="toc 7"/>
    <w:basedOn w:val="1"/>
    <w:next w:val="1"/>
    <w:qFormat/>
    <w:uiPriority w:val="0"/>
    <w:pPr>
      <w:ind w:left="1200" w:leftChars="1200"/>
    </w:pPr>
  </w:style>
  <w:style w:type="paragraph" w:styleId="13">
    <w:name w:val="Document Map"/>
    <w:basedOn w:val="1"/>
    <w:qFormat/>
    <w:uiPriority w:val="0"/>
    <w:pPr>
      <w:shd w:val="clear" w:color="auto" w:fill="000080"/>
    </w:pPr>
  </w:style>
  <w:style w:type="paragraph" w:styleId="14">
    <w:name w:val="annotation text"/>
    <w:basedOn w:val="1"/>
    <w:link w:val="51"/>
    <w:qFormat/>
    <w:uiPriority w:val="0"/>
    <w:pPr>
      <w:adjustRightInd w:val="0"/>
      <w:spacing w:line="360" w:lineRule="atLeast"/>
      <w:jc w:val="left"/>
      <w:textAlignment w:val="baseline"/>
    </w:pPr>
    <w:rPr>
      <w:kern w:val="0"/>
      <w:sz w:val="24"/>
      <w:szCs w:val="20"/>
    </w:rPr>
  </w:style>
  <w:style w:type="paragraph" w:styleId="15">
    <w:name w:val="Body Text 3"/>
    <w:basedOn w:val="1"/>
    <w:qFormat/>
    <w:uiPriority w:val="0"/>
    <w:pPr>
      <w:spacing w:after="120" w:line="500" w:lineRule="exact"/>
      <w:ind w:firstLine="200" w:firstLineChars="200"/>
    </w:pPr>
    <w:rPr>
      <w:sz w:val="16"/>
      <w:szCs w:val="16"/>
    </w:rPr>
  </w:style>
  <w:style w:type="paragraph" w:styleId="16">
    <w:name w:val="Body Text"/>
    <w:basedOn w:val="1"/>
    <w:next w:val="1"/>
    <w:qFormat/>
    <w:uiPriority w:val="0"/>
    <w:pPr>
      <w:spacing w:line="0" w:lineRule="atLeast"/>
    </w:pPr>
    <w:rPr>
      <w:sz w:val="30"/>
      <w:szCs w:val="20"/>
    </w:rPr>
  </w:style>
  <w:style w:type="paragraph" w:styleId="17">
    <w:name w:val="Body Text Indent"/>
    <w:basedOn w:val="1"/>
    <w:next w:val="18"/>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8">
    <w:name w:val="envelope return"/>
    <w:basedOn w:val="1"/>
    <w:unhideWhenUsed/>
    <w:qFormat/>
    <w:uiPriority w:val="99"/>
    <w:pPr>
      <w:snapToGrid w:val="0"/>
    </w:pPr>
  </w:style>
  <w:style w:type="paragraph" w:styleId="19">
    <w:name w:val="List 2"/>
    <w:qFormat/>
    <w:uiPriority w:val="0"/>
    <w:pPr>
      <w:spacing w:line="400" w:lineRule="exact"/>
      <w:jc w:val="center"/>
    </w:pPr>
    <w:rPr>
      <w:rFonts w:ascii="Arial" w:hAnsi="Arial" w:eastAsia="宋体" w:cs="Times New Roman"/>
      <w:sz w:val="24"/>
      <w:lang w:val="en-US" w:eastAsia="zh-CN" w:bidi="ar-SA"/>
    </w:rPr>
  </w:style>
  <w:style w:type="paragraph" w:styleId="20">
    <w:name w:val="Block Text"/>
    <w:basedOn w:val="1"/>
    <w:qFormat/>
    <w:uiPriority w:val="0"/>
    <w:pPr>
      <w:adjustRightInd w:val="0"/>
      <w:ind w:left="420" w:right="33"/>
      <w:jc w:val="left"/>
      <w:textAlignment w:val="baseline"/>
    </w:pPr>
    <w:rPr>
      <w:kern w:val="0"/>
      <w:sz w:val="24"/>
      <w:szCs w:val="20"/>
    </w:rPr>
  </w:style>
  <w:style w:type="paragraph" w:styleId="21">
    <w:name w:val="toc 5"/>
    <w:basedOn w:val="1"/>
    <w:next w:val="1"/>
    <w:qFormat/>
    <w:uiPriority w:val="0"/>
    <w:pPr>
      <w:ind w:left="800" w:leftChars="800"/>
    </w:pPr>
  </w:style>
  <w:style w:type="paragraph" w:styleId="22">
    <w:name w:val="toc 3"/>
    <w:basedOn w:val="1"/>
    <w:next w:val="1"/>
    <w:qFormat/>
    <w:uiPriority w:val="0"/>
    <w:pPr>
      <w:widowControl/>
      <w:tabs>
        <w:tab w:val="right" w:leader="dot" w:pos="9360"/>
      </w:tabs>
      <w:spacing w:line="460" w:lineRule="exact"/>
      <w:ind w:left="200" w:leftChars="200"/>
    </w:pPr>
    <w:rPr>
      <w:kern w:val="0"/>
      <w:sz w:val="24"/>
      <w:szCs w:val="20"/>
    </w:rPr>
  </w:style>
  <w:style w:type="paragraph" w:styleId="23">
    <w:name w:val="Plain Text"/>
    <w:basedOn w:val="1"/>
    <w:qFormat/>
    <w:uiPriority w:val="0"/>
    <w:rPr>
      <w:rFonts w:ascii="宋体" w:cs="Courier New"/>
      <w:szCs w:val="21"/>
    </w:rPr>
  </w:style>
  <w:style w:type="paragraph" w:styleId="24">
    <w:name w:val="toc 8"/>
    <w:basedOn w:val="1"/>
    <w:next w:val="1"/>
    <w:qFormat/>
    <w:uiPriority w:val="0"/>
    <w:pPr>
      <w:ind w:left="1400" w:leftChars="1400"/>
    </w:pPr>
  </w:style>
  <w:style w:type="paragraph" w:styleId="25">
    <w:name w:val="Date"/>
    <w:basedOn w:val="1"/>
    <w:next w:val="1"/>
    <w:qFormat/>
    <w:uiPriority w:val="0"/>
    <w:rPr>
      <w:sz w:val="24"/>
      <w:szCs w:val="20"/>
    </w:rPr>
  </w:style>
  <w:style w:type="paragraph" w:styleId="26">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spacing w:val="12"/>
      <w:kern w:val="0"/>
      <w:sz w:val="24"/>
      <w:szCs w:val="20"/>
    </w:rPr>
  </w:style>
  <w:style w:type="paragraph" w:styleId="27">
    <w:name w:val="Balloon Text"/>
    <w:basedOn w:val="1"/>
    <w:qFormat/>
    <w:uiPriority w:val="0"/>
    <w:rPr>
      <w:sz w:val="18"/>
      <w:szCs w:val="18"/>
    </w:rPr>
  </w:style>
  <w:style w:type="paragraph" w:styleId="28">
    <w:name w:val="footer"/>
    <w:basedOn w:val="1"/>
    <w:link w:val="52"/>
    <w:qFormat/>
    <w:uiPriority w:val="99"/>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360"/>
      </w:tabs>
      <w:spacing w:line="500" w:lineRule="exact"/>
      <w:jc w:val="center"/>
    </w:pPr>
    <w:rPr>
      <w:rFonts w:ascii="宋体"/>
      <w:bCs/>
      <w:color w:val="000000"/>
      <w:kern w:val="44"/>
      <w:szCs w:val="21"/>
    </w:rPr>
  </w:style>
  <w:style w:type="paragraph" w:styleId="31">
    <w:name w:val="toc 4"/>
    <w:basedOn w:val="1"/>
    <w:next w:val="1"/>
    <w:qFormat/>
    <w:uiPriority w:val="0"/>
    <w:pPr>
      <w:widowControl/>
      <w:spacing w:line="360" w:lineRule="auto"/>
      <w:jc w:val="left"/>
    </w:pPr>
    <w:rPr>
      <w:rFonts w:ascii="宋体"/>
      <w:b/>
      <w:bCs/>
      <w:color w:val="000000"/>
      <w:kern w:val="0"/>
      <w:sz w:val="24"/>
      <w:szCs w:val="21"/>
    </w:rPr>
  </w:style>
  <w:style w:type="paragraph" w:styleId="32">
    <w:name w:val="footnote text"/>
    <w:basedOn w:val="1"/>
    <w:qFormat/>
    <w:uiPriority w:val="0"/>
    <w:pPr>
      <w:adjustRightInd w:val="0"/>
      <w:spacing w:line="312" w:lineRule="atLeast"/>
      <w:jc w:val="left"/>
      <w:textAlignment w:val="baseline"/>
    </w:pPr>
    <w:rPr>
      <w:kern w:val="0"/>
      <w:sz w:val="18"/>
      <w:szCs w:val="20"/>
    </w:rPr>
  </w:style>
  <w:style w:type="paragraph" w:styleId="33">
    <w:name w:val="toc 6"/>
    <w:basedOn w:val="1"/>
    <w:next w:val="1"/>
    <w:qFormat/>
    <w:uiPriority w:val="0"/>
    <w:pPr>
      <w:ind w:left="1000" w:leftChars="1000"/>
    </w:pPr>
  </w:style>
  <w:style w:type="paragraph" w:styleId="34">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color w:val="000000"/>
      <w:kern w:val="0"/>
      <w:sz w:val="24"/>
      <w:szCs w:val="20"/>
    </w:rPr>
  </w:style>
  <w:style w:type="paragraph" w:styleId="35">
    <w:name w:val="toc 2"/>
    <w:basedOn w:val="1"/>
    <w:next w:val="1"/>
    <w:qFormat/>
    <w:uiPriority w:val="0"/>
    <w:pPr>
      <w:tabs>
        <w:tab w:val="right" w:leader="dot" w:pos="9360"/>
      </w:tabs>
      <w:wordWrap w:val="0"/>
      <w:spacing w:line="500" w:lineRule="exact"/>
      <w:ind w:right="630"/>
    </w:pPr>
  </w:style>
  <w:style w:type="paragraph" w:styleId="36">
    <w:name w:val="toc 9"/>
    <w:basedOn w:val="1"/>
    <w:next w:val="1"/>
    <w:qFormat/>
    <w:uiPriority w:val="0"/>
    <w:pPr>
      <w:ind w:left="1600" w:leftChars="1600"/>
    </w:pPr>
  </w:style>
  <w:style w:type="paragraph" w:styleId="37">
    <w:name w:val="Body Text 2"/>
    <w:basedOn w:val="1"/>
    <w:qFormat/>
    <w:uiPriority w:val="0"/>
    <w:rPr>
      <w:sz w:val="24"/>
    </w:rPr>
  </w:style>
  <w:style w:type="paragraph" w:styleId="38">
    <w:name w:val="Normal (Web)"/>
    <w:basedOn w:val="1"/>
    <w:qFormat/>
    <w:uiPriority w:val="0"/>
    <w:pPr>
      <w:widowControl/>
      <w:spacing w:before="100" w:beforeAutospacing="1" w:after="100" w:afterAutospacing="1"/>
      <w:jc w:val="left"/>
    </w:pPr>
    <w:rPr>
      <w:rFonts w:ascii="宋体" w:cs="宋体"/>
      <w:kern w:val="0"/>
      <w:sz w:val="24"/>
    </w:rPr>
  </w:style>
  <w:style w:type="paragraph" w:styleId="39">
    <w:name w:val="index 1"/>
    <w:basedOn w:val="1"/>
    <w:next w:val="1"/>
    <w:qFormat/>
    <w:uiPriority w:val="0"/>
    <w:pPr>
      <w:spacing w:line="500" w:lineRule="exact"/>
      <w:ind w:left="100" w:leftChars="100" w:firstLine="1"/>
    </w:pPr>
    <w:rPr>
      <w:rFonts w:ascii="Arial" w:hAnsi="Arial" w:cs="Arial"/>
      <w:szCs w:val="21"/>
    </w:rPr>
  </w:style>
  <w:style w:type="paragraph" w:styleId="40">
    <w:name w:val="Title"/>
    <w:basedOn w:val="1"/>
    <w:qFormat/>
    <w:uiPriority w:val="0"/>
    <w:pPr>
      <w:numPr>
        <w:ilvl w:val="0"/>
        <w:numId w:val="2"/>
      </w:numPr>
      <w:jc w:val="center"/>
    </w:pPr>
    <w:rPr>
      <w:b/>
      <w:bCs/>
      <w:sz w:val="28"/>
    </w:rPr>
  </w:style>
  <w:style w:type="paragraph" w:styleId="41">
    <w:name w:val="annotation subject"/>
    <w:basedOn w:val="14"/>
    <w:next w:val="14"/>
    <w:link w:val="53"/>
    <w:qFormat/>
    <w:uiPriority w:val="0"/>
    <w:pPr>
      <w:adjustRightInd/>
      <w:spacing w:line="240" w:lineRule="auto"/>
      <w:textAlignment w:val="auto"/>
    </w:pPr>
    <w:rPr>
      <w:b/>
      <w:bCs/>
      <w:kern w:val="2"/>
      <w:sz w:val="21"/>
      <w:szCs w:val="24"/>
    </w:rPr>
  </w:style>
  <w:style w:type="paragraph" w:styleId="42">
    <w:name w:val="Body Text First Indent 2"/>
    <w:basedOn w:val="17"/>
    <w:next w:val="1"/>
    <w:qFormat/>
    <w:uiPriority w:val="0"/>
    <w:pPr>
      <w:spacing w:after="120" w:line="480" w:lineRule="exact"/>
      <w:ind w:left="420" w:leftChars="200" w:firstLine="420" w:firstLineChars="200"/>
    </w:pPr>
    <w:rPr>
      <w:szCs w:val="20"/>
    </w:rPr>
  </w:style>
  <w:style w:type="character" w:styleId="45">
    <w:name w:val="Strong"/>
    <w:qFormat/>
    <w:uiPriority w:val="0"/>
    <w:rPr>
      <w:rFonts w:ascii="Tahoma" w:hAnsi="Tahoma" w:eastAsia="宋体"/>
      <w:b/>
      <w:bCs/>
      <w:kern w:val="2"/>
      <w:sz w:val="28"/>
      <w:szCs w:val="28"/>
      <w:lang w:val="en-US" w:eastAsia="zh-CN" w:bidi="ar-SA"/>
    </w:rPr>
  </w:style>
  <w:style w:type="character" w:styleId="46">
    <w:name w:val="page number"/>
    <w:qFormat/>
    <w:uiPriority w:val="0"/>
    <w:rPr>
      <w:rFonts w:hint="default" w:ascii="Times New Roman"/>
    </w:rPr>
  </w:style>
  <w:style w:type="character" w:styleId="47">
    <w:name w:val="FollowedHyperlink"/>
    <w:qFormat/>
    <w:uiPriority w:val="0"/>
    <w:rPr>
      <w:color w:val="800080"/>
      <w:u w:val="single"/>
    </w:rPr>
  </w:style>
  <w:style w:type="character" w:styleId="48">
    <w:name w:val="line number"/>
    <w:qFormat/>
    <w:uiPriority w:val="0"/>
    <w:rPr>
      <w:rFonts w:ascii="Tahoma" w:hAnsi="Tahoma" w:eastAsia="宋体"/>
      <w:b/>
      <w:kern w:val="2"/>
      <w:sz w:val="28"/>
      <w:szCs w:val="28"/>
      <w:lang w:val="en-US" w:eastAsia="zh-CN" w:bidi="ar-SA"/>
    </w:rPr>
  </w:style>
  <w:style w:type="character" w:styleId="49">
    <w:name w:val="Hyperlink"/>
    <w:qFormat/>
    <w:uiPriority w:val="0"/>
    <w:rPr>
      <w:color w:val="0000FF"/>
      <w:u w:val="single"/>
    </w:rPr>
  </w:style>
  <w:style w:type="character" w:styleId="50">
    <w:name w:val="annotation reference"/>
    <w:qFormat/>
    <w:uiPriority w:val="0"/>
    <w:rPr>
      <w:sz w:val="21"/>
      <w:szCs w:val="21"/>
    </w:rPr>
  </w:style>
  <w:style w:type="character" w:customStyle="1" w:styleId="51">
    <w:name w:val="批注文字 字符"/>
    <w:link w:val="14"/>
    <w:qFormat/>
    <w:uiPriority w:val="0"/>
    <w:rPr>
      <w:sz w:val="24"/>
    </w:rPr>
  </w:style>
  <w:style w:type="character" w:customStyle="1" w:styleId="52">
    <w:name w:val="页脚 字符"/>
    <w:link w:val="28"/>
    <w:qFormat/>
    <w:uiPriority w:val="99"/>
    <w:rPr>
      <w:kern w:val="2"/>
      <w:sz w:val="18"/>
      <w:szCs w:val="18"/>
    </w:rPr>
  </w:style>
  <w:style w:type="character" w:customStyle="1" w:styleId="53">
    <w:name w:val="批注主题 字符"/>
    <w:link w:val="41"/>
    <w:qFormat/>
    <w:uiPriority w:val="0"/>
    <w:rPr>
      <w:b/>
      <w:bCs/>
      <w:kern w:val="2"/>
      <w:sz w:val="21"/>
      <w:szCs w:val="24"/>
    </w:rPr>
  </w:style>
  <w:style w:type="character" w:customStyle="1" w:styleId="54">
    <w:name w:val="Para head"/>
    <w:qFormat/>
    <w:uiPriority w:val="0"/>
    <w:rPr>
      <w:rFonts w:ascii="Arial" w:hAnsi="Arial" w:eastAsia="Times New Roman"/>
      <w:sz w:val="20"/>
    </w:rPr>
  </w:style>
  <w:style w:type="character" w:customStyle="1" w:styleId="55">
    <w:name w:val="ca-33"/>
    <w:qFormat/>
    <w:uiPriority w:val="0"/>
  </w:style>
  <w:style w:type="character" w:customStyle="1" w:styleId="56">
    <w:name w:val="Normal Char"/>
    <w:qFormat/>
    <w:uiPriority w:val="0"/>
    <w:rPr>
      <w:rFonts w:ascii="宋体" w:eastAsia="宋体"/>
      <w:sz w:val="34"/>
      <w:lang w:val="en-US" w:eastAsia="zh-CN" w:bidi="ar-SA"/>
    </w:rPr>
  </w:style>
  <w:style w:type="character" w:customStyle="1" w:styleId="57">
    <w:name w:val="标题 2 Char Char Char"/>
    <w:qFormat/>
    <w:uiPriority w:val="0"/>
    <w:rPr>
      <w:rFonts w:ascii="宋体" w:eastAsia="宋体"/>
      <w:b/>
      <w:bCs/>
      <w:kern w:val="2"/>
      <w:sz w:val="28"/>
      <w:szCs w:val="32"/>
      <w:lang w:val="en-US" w:eastAsia="zh-CN" w:bidi="ar-SA"/>
    </w:rPr>
  </w:style>
  <w:style w:type="character" w:customStyle="1" w:styleId="58">
    <w:name w:val="ca-11"/>
    <w:qFormat/>
    <w:uiPriority w:val="0"/>
  </w:style>
  <w:style w:type="character" w:customStyle="1" w:styleId="59">
    <w:name w:val="tdrownotice1"/>
    <w:qFormat/>
    <w:uiPriority w:val="0"/>
    <w:rPr>
      <w:sz w:val="22"/>
      <w:szCs w:val="22"/>
    </w:rPr>
  </w:style>
  <w:style w:type="character" w:customStyle="1" w:styleId="60">
    <w:name w:val="样式 样式 标题 2标题 2 Char + 五号 + 小四 Char"/>
    <w:qFormat/>
    <w:uiPriority w:val="0"/>
    <w:rPr>
      <w:rFonts w:ascii="Arial" w:hAnsi="Arial" w:eastAsia="宋体"/>
      <w:b/>
      <w:bCs/>
      <w:kern w:val="2"/>
      <w:sz w:val="44"/>
      <w:szCs w:val="44"/>
      <w:lang w:val="en-US" w:eastAsia="zh-CN" w:bidi="ar-SA"/>
    </w:rPr>
  </w:style>
  <w:style w:type="character" w:customStyle="1" w:styleId="61">
    <w:name w:val="样式 标题 2标题 2 Char + 五号 Char"/>
    <w:qFormat/>
    <w:uiPriority w:val="0"/>
    <w:rPr>
      <w:rFonts w:ascii="Arial" w:hAnsi="Arial" w:eastAsia="宋体"/>
      <w:b/>
      <w:bCs/>
      <w:kern w:val="2"/>
      <w:sz w:val="28"/>
      <w:szCs w:val="28"/>
      <w:lang w:val="en-US" w:eastAsia="zh-CN" w:bidi="ar-SA"/>
    </w:rPr>
  </w:style>
  <w:style w:type="character" w:customStyle="1" w:styleId="62">
    <w:name w:val="标题 2 Char Char"/>
    <w:qFormat/>
    <w:uiPriority w:val="0"/>
    <w:rPr>
      <w:rFonts w:ascii="Arial" w:hAnsi="Arial" w:eastAsia="黑体"/>
      <w:b/>
      <w:bCs/>
      <w:kern w:val="2"/>
      <w:sz w:val="32"/>
      <w:szCs w:val="32"/>
      <w:lang w:val="en-US" w:eastAsia="zh-CN" w:bidi="ar-SA"/>
    </w:rPr>
  </w:style>
  <w:style w:type="character" w:customStyle="1" w:styleId="63">
    <w:name w:val="ca-13"/>
    <w:qFormat/>
    <w:uiPriority w:val="0"/>
  </w:style>
  <w:style w:type="character" w:customStyle="1" w:styleId="64">
    <w:name w:val="gonggao-downline1"/>
    <w:qFormat/>
    <w:uiPriority w:val="0"/>
    <w:rPr>
      <w:rFonts w:ascii="ˎ̥" w:hAnsi="ˎ̥"/>
      <w:b/>
      <w:bCs/>
      <w:color w:val="000000"/>
      <w:sz w:val="24"/>
      <w:szCs w:val="24"/>
      <w:u w:val="single"/>
      <w:bdr w:val="single" w:color="ADD2E8" w:sz="6" w:space="0"/>
      <w:shd w:val="clear" w:color="auto" w:fill="F8FCFF"/>
    </w:rPr>
  </w:style>
  <w:style w:type="paragraph" w:customStyle="1" w:styleId="65">
    <w:name w:val="样式 首行缩进:  2 字符"/>
    <w:basedOn w:val="1"/>
    <w:qFormat/>
    <w:uiPriority w:val="0"/>
    <w:pPr>
      <w:spacing w:line="400" w:lineRule="exact"/>
      <w:ind w:firstLine="200" w:firstLineChars="200"/>
    </w:pPr>
    <w:rPr>
      <w:rFonts w:cs="宋体"/>
      <w:sz w:val="24"/>
    </w:rPr>
  </w:style>
  <w:style w:type="paragraph" w:customStyle="1" w:styleId="66">
    <w:name w:val="纯文本1"/>
    <w:basedOn w:val="1"/>
    <w:qFormat/>
    <w:uiPriority w:val="0"/>
    <w:pPr>
      <w:adjustRightInd w:val="0"/>
      <w:textAlignment w:val="baseline"/>
    </w:pPr>
    <w:rPr>
      <w:rFonts w:ascii="宋体"/>
      <w:kern w:val="0"/>
      <w:sz w:val="24"/>
      <w:szCs w:val="20"/>
    </w:rPr>
  </w:style>
  <w:style w:type="paragraph" w:customStyle="1" w:styleId="67">
    <w:name w:val="表格标题"/>
    <w:basedOn w:val="1"/>
    <w:qFormat/>
    <w:uiPriority w:val="0"/>
    <w:pPr>
      <w:spacing w:beforeLines="100" w:afterLines="100"/>
      <w:jc w:val="center"/>
    </w:pPr>
    <w:rPr>
      <w:b/>
      <w:sz w:val="44"/>
    </w:rPr>
  </w:style>
  <w:style w:type="paragraph" w:customStyle="1" w:styleId="68">
    <w:name w:val="Char Char Char Char Char Char"/>
    <w:basedOn w:val="13"/>
    <w:next w:val="5"/>
    <w:qFormat/>
    <w:uiPriority w:val="0"/>
    <w:pPr>
      <w:adjustRightInd w:val="0"/>
      <w:spacing w:line="600" w:lineRule="exact"/>
      <w:jc w:val="center"/>
      <w:outlineLvl w:val="2"/>
    </w:pPr>
    <w:rPr>
      <w:rFonts w:ascii="Tahoma" w:hAnsi="Tahoma"/>
      <w:b/>
      <w:sz w:val="28"/>
      <w:szCs w:val="28"/>
    </w:rPr>
  </w:style>
  <w:style w:type="paragraph" w:customStyle="1" w:styleId="69">
    <w:name w:val="样式 样式 标题 3 + 首行缩进:  1.13 厘米 + 首行缩进:  2 字符"/>
    <w:basedOn w:val="70"/>
    <w:qFormat/>
    <w:uiPriority w:val="0"/>
    <w:rPr>
      <w:sz w:val="24"/>
      <w:szCs w:val="24"/>
    </w:rPr>
  </w:style>
  <w:style w:type="paragraph" w:customStyle="1" w:styleId="70">
    <w:name w:val="样式 标题 3 + 首行缩进:  1.13 厘米"/>
    <w:basedOn w:val="5"/>
    <w:qFormat/>
    <w:uiPriority w:val="0"/>
    <w:pPr>
      <w:widowControl w:val="0"/>
      <w:spacing w:before="0" w:after="0" w:line="400" w:lineRule="exact"/>
      <w:ind w:firstLine="200" w:firstLineChars="200"/>
      <w:jc w:val="both"/>
    </w:pPr>
    <w:rPr>
      <w:rFonts w:cs="宋体"/>
      <w:bCs/>
      <w:kern w:val="2"/>
      <w:sz w:val="28"/>
      <w:szCs w:val="28"/>
    </w:rPr>
  </w:style>
  <w:style w:type="paragraph" w:customStyle="1" w:styleId="71">
    <w:name w:val="表格5"/>
    <w:basedOn w:val="72"/>
    <w:qFormat/>
    <w:uiPriority w:val="0"/>
    <w:pPr>
      <w:ind w:left="1021" w:hanging="284"/>
    </w:pPr>
    <w:rPr>
      <w:rFonts w:ascii="宋体"/>
    </w:rPr>
  </w:style>
  <w:style w:type="paragraph" w:customStyle="1" w:styleId="72">
    <w:name w:val="表格2"/>
    <w:basedOn w:val="1"/>
    <w:qFormat/>
    <w:uiPriority w:val="0"/>
    <w:pPr>
      <w:adjustRightInd w:val="0"/>
      <w:spacing w:line="420" w:lineRule="atLeast"/>
      <w:ind w:left="284" w:firstLine="454"/>
      <w:textAlignment w:val="baseline"/>
    </w:pPr>
    <w:rPr>
      <w:kern w:val="0"/>
      <w:szCs w:val="20"/>
    </w:rPr>
  </w:style>
  <w:style w:type="paragraph" w:customStyle="1" w:styleId="73">
    <w:name w:val="Char Char1 Char Char Char Char Char Char Char Char"/>
    <w:basedOn w:val="1"/>
    <w:qFormat/>
    <w:uiPriority w:val="0"/>
  </w:style>
  <w:style w:type="paragraph" w:customStyle="1" w:styleId="74">
    <w:name w:val="菲页1"/>
    <w:basedOn w:val="3"/>
    <w:qFormat/>
    <w:uiPriority w:val="0"/>
    <w:rPr>
      <w:rFonts w:ascii="黑体"/>
      <w:b w:val="0"/>
      <w:sz w:val="52"/>
    </w:rPr>
  </w:style>
  <w:style w:type="paragraph" w:customStyle="1" w:styleId="75">
    <w:name w:val="表左2"/>
    <w:basedOn w:val="1"/>
    <w:qFormat/>
    <w:uiPriority w:val="0"/>
    <w:pPr>
      <w:adjustRightInd w:val="0"/>
      <w:spacing w:line="360" w:lineRule="atLeast"/>
      <w:ind w:left="227"/>
      <w:jc w:val="left"/>
      <w:textAlignment w:val="baseline"/>
    </w:pPr>
    <w:rPr>
      <w:kern w:val="0"/>
      <w:szCs w:val="20"/>
    </w:rPr>
  </w:style>
  <w:style w:type="paragraph" w:customStyle="1" w:styleId="76">
    <w:name w:val="Char Char"/>
    <w:basedOn w:val="13"/>
    <w:qFormat/>
    <w:uiPriority w:val="0"/>
    <w:pPr>
      <w:adjustRightInd w:val="0"/>
      <w:spacing w:line="436" w:lineRule="exact"/>
      <w:ind w:left="357"/>
      <w:jc w:val="left"/>
      <w:outlineLvl w:val="3"/>
    </w:pPr>
    <w:rPr>
      <w:rFonts w:ascii="Tahoma" w:hAnsi="Tahoma"/>
      <w:b/>
      <w:sz w:val="24"/>
    </w:rPr>
  </w:style>
  <w:style w:type="paragraph" w:customStyle="1" w:styleId="77">
    <w:name w:val="目录2"/>
    <w:basedOn w:val="1"/>
    <w:qFormat/>
    <w:uiPriority w:val="0"/>
    <w:pPr>
      <w:adjustRightInd w:val="0"/>
      <w:spacing w:line="420" w:lineRule="atLeast"/>
      <w:ind w:left="227"/>
      <w:textAlignment w:val="baseline"/>
    </w:pPr>
    <w:rPr>
      <w:kern w:val="0"/>
      <w:szCs w:val="20"/>
    </w:rPr>
  </w:style>
  <w:style w:type="paragraph" w:customStyle="1" w:styleId="78">
    <w:name w:val="font6"/>
    <w:basedOn w:val="1"/>
    <w:qFormat/>
    <w:uiPriority w:val="0"/>
    <w:pPr>
      <w:widowControl/>
      <w:spacing w:before="100" w:beforeAutospacing="1" w:after="100" w:afterAutospacing="1" w:line="440" w:lineRule="exact"/>
      <w:ind w:firstLine="200" w:firstLineChars="200"/>
      <w:jc w:val="left"/>
    </w:pPr>
    <w:rPr>
      <w:kern w:val="0"/>
      <w:sz w:val="24"/>
      <w:szCs w:val="21"/>
    </w:rPr>
  </w:style>
  <w:style w:type="paragraph" w:customStyle="1" w:styleId="79">
    <w:name w:val="菲页2"/>
    <w:basedOn w:val="5"/>
    <w:qFormat/>
    <w:uiPriority w:val="0"/>
    <w:pPr>
      <w:numPr>
        <w:ilvl w:val="2"/>
        <w:numId w:val="3"/>
      </w:numPr>
    </w:pPr>
    <w:rPr>
      <w:rFonts w:ascii="黑体" w:eastAsia="黑体"/>
      <w:b w:val="0"/>
      <w:sz w:val="44"/>
    </w:rPr>
  </w:style>
  <w:style w:type="paragraph" w:customStyle="1" w:styleId="80">
    <w:name w:val="样式3"/>
    <w:basedOn w:val="2"/>
    <w:next w:val="29"/>
    <w:qFormat/>
    <w:uiPriority w:val="0"/>
    <w:pPr>
      <w:keepLines/>
      <w:widowControl w:val="0"/>
      <w:spacing w:before="120" w:after="120" w:line="576" w:lineRule="auto"/>
    </w:pPr>
    <w:rPr>
      <w:rFonts w:ascii="Times New Roman" w:eastAsia="宋体"/>
      <w:b/>
      <w:kern w:val="44"/>
      <w:sz w:val="44"/>
    </w:rPr>
  </w:style>
  <w:style w:type="paragraph" w:customStyle="1" w:styleId="81">
    <w:name w:val="目录文字"/>
    <w:basedOn w:val="1"/>
    <w:qFormat/>
    <w:uiPriority w:val="0"/>
    <w:pPr>
      <w:widowControl/>
      <w:spacing w:line="480" w:lineRule="auto"/>
      <w:jc w:val="left"/>
    </w:pPr>
    <w:rPr>
      <w:rFonts w:ascii="宋体"/>
      <w:kern w:val="0"/>
      <w:sz w:val="24"/>
      <w:szCs w:val="20"/>
    </w:rPr>
  </w:style>
  <w:style w:type="paragraph" w:customStyle="1" w:styleId="82">
    <w:name w:val="样式 样式 普通(网站) + + 首行缩进:  2 字符"/>
    <w:basedOn w:val="1"/>
    <w:qFormat/>
    <w:uiPriority w:val="0"/>
    <w:pPr>
      <w:widowControl/>
      <w:spacing w:line="400" w:lineRule="exact"/>
      <w:ind w:firstLine="200" w:firstLineChars="200"/>
      <w:jc w:val="left"/>
    </w:pPr>
    <w:rPr>
      <w:kern w:val="0"/>
      <w:sz w:val="24"/>
      <w:szCs w:val="20"/>
    </w:rPr>
  </w:style>
  <w:style w:type="paragraph" w:customStyle="1" w:styleId="83">
    <w:name w:val="样式 蓝色 首行缩进:  2 字符"/>
    <w:basedOn w:val="1"/>
    <w:qFormat/>
    <w:uiPriority w:val="0"/>
    <w:pPr>
      <w:spacing w:line="400" w:lineRule="exact"/>
      <w:ind w:firstLine="200" w:firstLineChars="200"/>
    </w:pPr>
    <w:rPr>
      <w:rFonts w:cs="宋体"/>
      <w:color w:val="0000FF"/>
      <w:sz w:val="24"/>
    </w:rPr>
  </w:style>
  <w:style w:type="paragraph" w:customStyle="1" w:styleId="84">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b/>
      <w:bCs/>
      <w:kern w:val="0"/>
      <w:sz w:val="24"/>
    </w:rPr>
  </w:style>
  <w:style w:type="paragraph" w:customStyle="1" w:styleId="85">
    <w:name w:val="样式 首行缩进:  2 字符 段前: 12 磅"/>
    <w:basedOn w:val="1"/>
    <w:qFormat/>
    <w:uiPriority w:val="0"/>
    <w:pPr>
      <w:spacing w:before="240" w:line="400" w:lineRule="exact"/>
      <w:ind w:firstLine="200" w:firstLineChars="200"/>
    </w:pPr>
    <w:rPr>
      <w:rFonts w:cs="宋体"/>
      <w:sz w:val="24"/>
    </w:rPr>
  </w:style>
  <w:style w:type="paragraph" w:customStyle="1" w:styleId="86">
    <w:name w:val="样式 标题 1 + 首行缩进:  2 字符 行距: 固定值 20 磅"/>
    <w:basedOn w:val="3"/>
    <w:qFormat/>
    <w:uiPriority w:val="0"/>
    <w:pPr>
      <w:widowControl w:val="0"/>
      <w:spacing w:before="120" w:after="120" w:line="400" w:lineRule="exact"/>
      <w:ind w:firstLine="200" w:firstLineChars="200"/>
      <w:jc w:val="both"/>
    </w:pPr>
    <w:rPr>
      <w:rFonts w:eastAsia="宋体" w:cs="宋体"/>
      <w:bCs/>
      <w:kern w:val="2"/>
      <w:sz w:val="32"/>
      <w:szCs w:val="32"/>
    </w:rPr>
  </w:style>
  <w:style w:type="paragraph" w:customStyle="1" w:styleId="8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8">
    <w:name w:val="目录"/>
    <w:basedOn w:val="1"/>
    <w:qFormat/>
    <w:uiPriority w:val="0"/>
    <w:pPr>
      <w:widowControl/>
      <w:jc w:val="center"/>
    </w:pPr>
    <w:rPr>
      <w:rFonts w:ascii="宋体"/>
      <w:b/>
      <w:kern w:val="0"/>
      <w:sz w:val="36"/>
      <w:szCs w:val="20"/>
    </w:rPr>
  </w:style>
  <w:style w:type="paragraph" w:customStyle="1" w:styleId="89">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90">
    <w:name w:val="正正正文"/>
    <w:basedOn w:val="1"/>
    <w:qFormat/>
    <w:uiPriority w:val="0"/>
    <w:pPr>
      <w:spacing w:line="500" w:lineRule="exact"/>
      <w:ind w:firstLine="200" w:firstLineChars="200"/>
    </w:pPr>
    <w:rPr>
      <w:bCs/>
      <w:sz w:val="28"/>
    </w:rPr>
  </w:style>
  <w:style w:type="paragraph" w:customStyle="1" w:styleId="91">
    <w:name w:val="表左1"/>
    <w:basedOn w:val="1"/>
    <w:qFormat/>
    <w:uiPriority w:val="0"/>
    <w:pPr>
      <w:adjustRightInd w:val="0"/>
      <w:spacing w:line="360" w:lineRule="atLeast"/>
      <w:jc w:val="left"/>
      <w:textAlignment w:val="baseline"/>
    </w:pPr>
    <w:rPr>
      <w:kern w:val="0"/>
      <w:szCs w:val="20"/>
    </w:rPr>
  </w:style>
  <w:style w:type="paragraph" w:customStyle="1" w:styleId="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kern w:val="0"/>
      <w:sz w:val="24"/>
      <w:szCs w:val="21"/>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样式 样式6 + 首行缩进:  2 字符"/>
    <w:basedOn w:val="95"/>
    <w:qFormat/>
    <w:uiPriority w:val="0"/>
    <w:pPr>
      <w:ind w:firstLine="0" w:firstLineChars="0"/>
    </w:pPr>
    <w:rPr>
      <w:szCs w:val="20"/>
    </w:rPr>
  </w:style>
  <w:style w:type="paragraph" w:customStyle="1" w:styleId="95">
    <w:name w:val="样式6"/>
    <w:basedOn w:val="6"/>
    <w:qFormat/>
    <w:uiPriority w:val="0"/>
    <w:pPr>
      <w:widowControl w:val="0"/>
      <w:spacing w:before="0" w:after="0" w:line="440" w:lineRule="exact"/>
      <w:ind w:firstLine="200" w:firstLineChars="200"/>
      <w:jc w:val="left"/>
    </w:pPr>
    <w:rPr>
      <w:rFonts w:eastAsia="宋体"/>
      <w:b/>
      <w:bCs/>
      <w:kern w:val="2"/>
      <w:sz w:val="24"/>
      <w:szCs w:val="24"/>
    </w:rPr>
  </w:style>
  <w:style w:type="paragraph" w:customStyle="1" w:styleId="96">
    <w:name w:val="样式 首行缩进:  2 字符1"/>
    <w:basedOn w:val="1"/>
    <w:qFormat/>
    <w:uiPriority w:val="0"/>
    <w:pPr>
      <w:spacing w:line="400" w:lineRule="exact"/>
      <w:ind w:firstLine="200" w:firstLineChars="200"/>
    </w:pPr>
    <w:rPr>
      <w:rFonts w:cs="宋体"/>
      <w:sz w:val="24"/>
    </w:rPr>
  </w:style>
  <w:style w:type="paragraph" w:customStyle="1" w:styleId="97">
    <w:name w:val="样式 样式 标题 1 + 首行缩进:  2 字符 行距: 固定值 20 磅 + 首行缩进:  2 字符"/>
    <w:basedOn w:val="86"/>
    <w:qFormat/>
    <w:uiPriority w:val="0"/>
    <w:pPr>
      <w:jc w:val="left"/>
    </w:pPr>
  </w:style>
  <w:style w:type="paragraph" w:customStyle="1" w:styleId="98">
    <w:name w:val="样式 左侧:  0.95 厘米"/>
    <w:basedOn w:val="1"/>
    <w:qFormat/>
    <w:uiPriority w:val="0"/>
    <w:pPr>
      <w:spacing w:line="400" w:lineRule="exact"/>
      <w:ind w:left="539" w:firstLine="200" w:firstLineChars="200"/>
    </w:pPr>
    <w:rPr>
      <w:rFonts w:cs="宋体"/>
      <w:sz w:val="24"/>
    </w:rPr>
  </w:style>
  <w:style w:type="paragraph" w:customStyle="1" w:styleId="99">
    <w:name w:val="样式2"/>
    <w:basedOn w:val="2"/>
    <w:qFormat/>
    <w:uiPriority w:val="0"/>
    <w:pPr>
      <w:keepLines/>
      <w:widowControl w:val="0"/>
      <w:spacing w:before="120" w:after="120" w:line="576" w:lineRule="auto"/>
    </w:pPr>
    <w:rPr>
      <w:rFonts w:ascii="Times New Roman" w:eastAsia="宋体"/>
      <w:b/>
      <w:kern w:val="44"/>
      <w:sz w:val="44"/>
    </w:rPr>
  </w:style>
  <w:style w:type="paragraph" w:customStyle="1" w:styleId="100">
    <w:name w:val="菲页(卷)"/>
    <w:basedOn w:val="2"/>
    <w:next w:val="101"/>
    <w:qFormat/>
    <w:uiPriority w:val="0"/>
    <w:pPr>
      <w:numPr>
        <w:ilvl w:val="0"/>
        <w:numId w:val="3"/>
      </w:numPr>
      <w:outlineLvl w:val="1"/>
    </w:pPr>
  </w:style>
  <w:style w:type="paragraph" w:customStyle="1" w:styleId="10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2">
    <w:name w:val="2"/>
    <w:basedOn w:val="1"/>
    <w:qFormat/>
    <w:uiPriority w:val="0"/>
    <w:pPr>
      <w:adjustRightInd w:val="0"/>
      <w:spacing w:line="420" w:lineRule="atLeast"/>
      <w:ind w:left="1134" w:hanging="227"/>
      <w:textAlignment w:val="baseline"/>
    </w:pPr>
    <w:rPr>
      <w:kern w:val="0"/>
      <w:szCs w:val="20"/>
    </w:rPr>
  </w:style>
  <w:style w:type="paragraph" w:customStyle="1" w:styleId="103">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04">
    <w:name w:val="样式 样式 标题 2标题 2 Char + 五号 + 小四"/>
    <w:basedOn w:val="105"/>
    <w:qFormat/>
    <w:uiPriority w:val="0"/>
    <w:pPr>
      <w:spacing w:line="440" w:lineRule="exact"/>
      <w:jc w:val="center"/>
    </w:pPr>
    <w:rPr>
      <w:sz w:val="44"/>
      <w:szCs w:val="44"/>
    </w:rPr>
  </w:style>
  <w:style w:type="paragraph" w:customStyle="1" w:styleId="105">
    <w:name w:val="样式 标题 2标题 2 Char + 五号"/>
    <w:basedOn w:val="3"/>
    <w:qFormat/>
    <w:uiPriority w:val="0"/>
    <w:pPr>
      <w:widowControl w:val="0"/>
      <w:spacing w:beforeLines="100" w:afterLines="100" w:line="400" w:lineRule="exact"/>
      <w:jc w:val="left"/>
      <w:outlineLvl w:val="2"/>
    </w:pPr>
    <w:rPr>
      <w:rFonts w:eastAsia="宋体"/>
      <w:bCs/>
      <w:kern w:val="2"/>
      <w:sz w:val="28"/>
      <w:szCs w:val="28"/>
    </w:rPr>
  </w:style>
  <w:style w:type="paragraph" w:customStyle="1" w:styleId="106">
    <w:name w:val="Char Char1 Char Char Char"/>
    <w:basedOn w:val="13"/>
    <w:qFormat/>
    <w:uiPriority w:val="0"/>
    <w:pPr>
      <w:adjustRightInd w:val="0"/>
      <w:spacing w:line="436" w:lineRule="exact"/>
      <w:ind w:left="357"/>
      <w:jc w:val="left"/>
      <w:outlineLvl w:val="3"/>
    </w:pPr>
    <w:rPr>
      <w:rFonts w:ascii="Tahoma" w:hAnsi="Tahoma"/>
      <w:b/>
      <w:sz w:val="24"/>
    </w:rPr>
  </w:style>
  <w:style w:type="paragraph" w:customStyle="1" w:styleId="107">
    <w:name w:val="样式 标题 2 + 首行缩进:  1.28 厘米"/>
    <w:basedOn w:val="3"/>
    <w:qFormat/>
    <w:uiPriority w:val="0"/>
    <w:pPr>
      <w:keepLines w:val="0"/>
      <w:widowControl w:val="0"/>
      <w:spacing w:before="0" w:after="0" w:line="500" w:lineRule="exact"/>
      <w:ind w:firstLine="726"/>
    </w:pPr>
    <w:rPr>
      <w:rFonts w:ascii="Times New Roman" w:hAnsi="Times New Roman" w:eastAsia="宋体" w:cs="宋体"/>
      <w:bCs/>
      <w:kern w:val="2"/>
      <w:sz w:val="32"/>
      <w:szCs w:val="32"/>
    </w:rPr>
  </w:style>
  <w:style w:type="paragraph" w:customStyle="1" w:styleId="108">
    <w:name w:val="表格方字"/>
    <w:basedOn w:val="1"/>
    <w:qFormat/>
    <w:uiPriority w:val="0"/>
    <w:pPr>
      <w:adjustRightInd w:val="0"/>
      <w:spacing w:before="60" w:after="60" w:line="420" w:lineRule="atLeast"/>
      <w:jc w:val="left"/>
      <w:textAlignment w:val="baseline"/>
    </w:pPr>
    <w:rPr>
      <w:kern w:val="0"/>
      <w:szCs w:val="20"/>
    </w:rPr>
  </w:style>
  <w:style w:type="paragraph" w:customStyle="1" w:styleId="109">
    <w:name w:val="样式1"/>
    <w:basedOn w:val="1"/>
    <w:qFormat/>
    <w:uiPriority w:val="0"/>
    <w:pPr>
      <w:spacing w:before="120" w:after="120" w:line="300" w:lineRule="auto"/>
    </w:pPr>
    <w:rPr>
      <w:rFonts w:ascii="宋体"/>
      <w:b/>
      <w:sz w:val="24"/>
      <w:szCs w:val="20"/>
    </w:rPr>
  </w:style>
  <w:style w:type="paragraph" w:customStyle="1" w:styleId="110">
    <w:name w:val="表格"/>
    <w:basedOn w:val="1"/>
    <w:qFormat/>
    <w:uiPriority w:val="0"/>
    <w:pPr>
      <w:spacing w:line="400" w:lineRule="exact"/>
    </w:pPr>
    <w:rPr>
      <w:sz w:val="24"/>
    </w:rPr>
  </w:style>
  <w:style w:type="paragraph" w:customStyle="1" w:styleId="111">
    <w:name w:val="样式 表格标题 + 段前: 1 行 段后: 1 行"/>
    <w:basedOn w:val="67"/>
    <w:qFormat/>
    <w:uiPriority w:val="0"/>
    <w:rPr>
      <w:rFonts w:cs="宋体"/>
      <w:bCs/>
      <w:sz w:val="36"/>
      <w:szCs w:val="36"/>
    </w:rPr>
  </w:style>
  <w:style w:type="paragraph" w:customStyle="1" w:styleId="112">
    <w:name w:val="zhengwen"/>
    <w:basedOn w:val="65"/>
    <w:qFormat/>
    <w:uiPriority w:val="0"/>
  </w:style>
  <w:style w:type="paragraph" w:customStyle="1" w:styleId="113">
    <w:name w:val="Char Char Char Char Char Char1"/>
    <w:basedOn w:val="13"/>
    <w:next w:val="5"/>
    <w:qFormat/>
    <w:uiPriority w:val="0"/>
    <w:pPr>
      <w:adjustRightInd w:val="0"/>
      <w:spacing w:line="600" w:lineRule="exact"/>
      <w:jc w:val="center"/>
      <w:outlineLvl w:val="2"/>
    </w:pPr>
    <w:rPr>
      <w:rFonts w:ascii="Tahoma" w:hAnsi="Tahoma"/>
      <w:b/>
      <w:sz w:val="28"/>
      <w:szCs w:val="28"/>
    </w:rPr>
  </w:style>
  <w:style w:type="paragraph" w:customStyle="1" w:styleId="114">
    <w:name w:val="正文11"/>
    <w:basedOn w:val="1"/>
    <w:qFormat/>
    <w:uiPriority w:val="0"/>
    <w:pPr>
      <w:spacing w:line="500" w:lineRule="atLeast"/>
      <w:ind w:firstLine="567"/>
      <w:textAlignment w:val="baseline"/>
    </w:pPr>
    <w:rPr>
      <w:rFonts w:ascii="宋体"/>
      <w:spacing w:val="14"/>
      <w:szCs w:val="20"/>
    </w:rPr>
  </w:style>
  <w:style w:type="paragraph" w:customStyle="1" w:styleId="115">
    <w:name w:val="font5"/>
    <w:basedOn w:val="1"/>
    <w:qFormat/>
    <w:uiPriority w:val="0"/>
    <w:pPr>
      <w:widowControl/>
      <w:spacing w:before="100" w:beforeAutospacing="1" w:after="100" w:afterAutospacing="1" w:line="440" w:lineRule="exact"/>
      <w:ind w:firstLine="200" w:firstLineChars="200"/>
      <w:jc w:val="left"/>
    </w:pPr>
    <w:rPr>
      <w:rFonts w:ascii="宋体"/>
      <w:kern w:val="0"/>
      <w:sz w:val="18"/>
      <w:szCs w:val="18"/>
    </w:rPr>
  </w:style>
  <w:style w:type="paragraph" w:customStyle="1" w:styleId="116">
    <w:name w:val="目录3"/>
    <w:basedOn w:val="1"/>
    <w:qFormat/>
    <w:uiPriority w:val="0"/>
    <w:pPr>
      <w:adjustRightInd w:val="0"/>
      <w:spacing w:line="420" w:lineRule="atLeast"/>
      <w:ind w:left="454" w:firstLine="425"/>
      <w:jc w:val="left"/>
      <w:textAlignment w:val="baseline"/>
    </w:pPr>
    <w:rPr>
      <w:kern w:val="0"/>
      <w:szCs w:val="20"/>
    </w:rPr>
  </w:style>
  <w:style w:type="paragraph" w:customStyle="1" w:styleId="117">
    <w:name w:val="Char Char Char Char Char Char1 Char Char Char Char"/>
    <w:basedOn w:val="13"/>
    <w:next w:val="5"/>
    <w:qFormat/>
    <w:uiPriority w:val="0"/>
    <w:pPr>
      <w:adjustRightInd w:val="0"/>
      <w:spacing w:line="600" w:lineRule="exact"/>
      <w:jc w:val="center"/>
      <w:outlineLvl w:val="2"/>
    </w:pPr>
    <w:rPr>
      <w:rFonts w:ascii="Tahoma" w:hAnsi="Tahoma"/>
      <w:b/>
      <w:sz w:val="28"/>
      <w:szCs w:val="28"/>
    </w:rPr>
  </w:style>
  <w:style w:type="paragraph" w:customStyle="1" w:styleId="118">
    <w:name w:val="注"/>
    <w:basedOn w:val="114"/>
    <w:qFormat/>
    <w:uiPriority w:val="0"/>
    <w:pPr>
      <w:adjustRightInd w:val="0"/>
      <w:spacing w:line="300" w:lineRule="atLeast"/>
      <w:ind w:left="510" w:hanging="510"/>
    </w:pPr>
    <w:rPr>
      <w:rFonts w:ascii="Times New Roman"/>
      <w:sz w:val="18"/>
    </w:rPr>
  </w:style>
  <w:style w:type="paragraph" w:customStyle="1" w:styleId="1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kern w:val="0"/>
      <w:sz w:val="24"/>
      <w:szCs w:val="21"/>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color w:val="000000"/>
      <w:kern w:val="0"/>
      <w:sz w:val="24"/>
      <w:szCs w:val="21"/>
    </w:rPr>
  </w:style>
  <w:style w:type="paragraph" w:customStyle="1" w:styleId="121">
    <w:name w:val="Char"/>
    <w:basedOn w:val="13"/>
    <w:next w:val="5"/>
    <w:qFormat/>
    <w:uiPriority w:val="0"/>
    <w:pPr>
      <w:adjustRightInd w:val="0"/>
      <w:spacing w:line="600" w:lineRule="exact"/>
      <w:jc w:val="center"/>
      <w:outlineLvl w:val="2"/>
    </w:pPr>
    <w:rPr>
      <w:rFonts w:ascii="Tahoma" w:hAnsi="Tahoma"/>
      <w:b/>
      <w:sz w:val="28"/>
      <w:szCs w:val="28"/>
    </w:rPr>
  </w:style>
  <w:style w:type="paragraph" w:customStyle="1" w:styleId="12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color w:val="000000"/>
      <w:kern w:val="0"/>
      <w:sz w:val="24"/>
      <w:szCs w:val="21"/>
    </w:rPr>
  </w:style>
  <w:style w:type="paragraph" w:customStyle="1" w:styleId="123">
    <w:name w:val="样式 标题 1 + 居中 段前: 12 磅 段后: 12 磅 行距: 固定值 30 磅"/>
    <w:basedOn w:val="2"/>
    <w:qFormat/>
    <w:uiPriority w:val="0"/>
    <w:pPr>
      <w:keepLines/>
      <w:widowControl w:val="0"/>
      <w:spacing w:before="240" w:after="240" w:line="600" w:lineRule="exact"/>
      <w:ind w:firstLine="200" w:firstLineChars="200"/>
    </w:pPr>
    <w:rPr>
      <w:rFonts w:ascii="Times New Roman" w:eastAsia="宋体" w:cs="宋体"/>
      <w:b/>
      <w:bCs/>
      <w:kern w:val="44"/>
      <w:sz w:val="84"/>
      <w:szCs w:val="84"/>
    </w:rPr>
  </w:style>
  <w:style w:type="paragraph" w:customStyle="1" w:styleId="124">
    <w:name w:val="表格6"/>
    <w:basedOn w:val="71"/>
    <w:qFormat/>
    <w:uiPriority w:val="0"/>
    <w:pPr>
      <w:ind w:left="737" w:firstLine="0"/>
    </w:pPr>
  </w:style>
  <w:style w:type="paragraph" w:customStyle="1" w:styleId="125">
    <w:name w:val="Char Char Char Char Char Char Char Char Char Char Char Char"/>
    <w:basedOn w:val="13"/>
    <w:qFormat/>
    <w:uiPriority w:val="0"/>
    <w:pPr>
      <w:adjustRightInd w:val="0"/>
      <w:spacing w:line="436" w:lineRule="exact"/>
      <w:ind w:left="357"/>
      <w:jc w:val="left"/>
      <w:outlineLvl w:val="3"/>
    </w:pPr>
    <w:rPr>
      <w:rFonts w:ascii="Tahoma" w:hAnsi="Tahoma"/>
      <w:b/>
      <w:sz w:val="24"/>
    </w:rPr>
  </w:style>
  <w:style w:type="paragraph" w:customStyle="1" w:styleId="126">
    <w:name w:val="样式 样式 标题 2标题 2 Char + 五号 + 段前: 1 行 段后: 1 行"/>
    <w:basedOn w:val="105"/>
    <w:qFormat/>
    <w:uiPriority w:val="0"/>
    <w:rPr>
      <w:rFonts w:cs="宋体"/>
      <w:szCs w:val="20"/>
    </w:rPr>
  </w:style>
  <w:style w:type="paragraph" w:customStyle="1" w:styleId="127">
    <w:name w:val="font11"/>
    <w:basedOn w:val="1"/>
    <w:qFormat/>
    <w:uiPriority w:val="0"/>
    <w:pPr>
      <w:widowControl/>
      <w:spacing w:before="100" w:beforeAutospacing="1" w:after="100" w:afterAutospacing="1"/>
      <w:jc w:val="left"/>
    </w:pPr>
    <w:rPr>
      <w:rFonts w:ascii="宋体"/>
      <w:kern w:val="0"/>
      <w:sz w:val="36"/>
      <w:szCs w:val="36"/>
    </w:rPr>
  </w:style>
  <w:style w:type="paragraph" w:customStyle="1" w:styleId="128">
    <w:name w:val="样式 标题 3 + (符号) Arial 段前: 2 行 段后: 2 行"/>
    <w:basedOn w:val="5"/>
    <w:qFormat/>
    <w:uiPriority w:val="0"/>
    <w:pPr>
      <w:widowControl w:val="0"/>
      <w:tabs>
        <w:tab w:val="left" w:pos="1560"/>
      </w:tabs>
      <w:spacing w:beforeLines="100" w:afterLines="100" w:line="600" w:lineRule="exact"/>
      <w:ind w:left="1560" w:hanging="720"/>
      <w:jc w:val="left"/>
    </w:pPr>
    <w:rPr>
      <w:bCs/>
      <w:kern w:val="2"/>
      <w:sz w:val="28"/>
      <w:szCs w:val="28"/>
    </w:rPr>
  </w:style>
  <w:style w:type="paragraph" w:customStyle="1" w:styleId="12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0">
    <w:name w:val="表格4"/>
    <w:basedOn w:val="1"/>
    <w:qFormat/>
    <w:uiPriority w:val="0"/>
    <w:pPr>
      <w:adjustRightInd w:val="0"/>
      <w:spacing w:line="420" w:lineRule="atLeast"/>
      <w:ind w:left="1021"/>
      <w:textAlignment w:val="baseline"/>
    </w:pPr>
    <w:rPr>
      <w:kern w:val="0"/>
      <w:szCs w:val="20"/>
    </w:rPr>
  </w:style>
  <w:style w:type="paragraph" w:customStyle="1" w:styleId="13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32">
    <w:name w:val="样式 标题 2 + 居中"/>
    <w:basedOn w:val="3"/>
    <w:qFormat/>
    <w:uiPriority w:val="0"/>
    <w:pPr>
      <w:widowControl w:val="0"/>
      <w:spacing w:before="120" w:after="120" w:line="240" w:lineRule="auto"/>
    </w:pPr>
    <w:rPr>
      <w:bCs/>
      <w:kern w:val="2"/>
      <w:sz w:val="32"/>
    </w:rPr>
  </w:style>
  <w:style w:type="paragraph" w:customStyle="1" w:styleId="133">
    <w:name w:val="样式4"/>
    <w:basedOn w:val="1"/>
    <w:qFormat/>
    <w:uiPriority w:val="0"/>
    <w:pPr>
      <w:spacing w:line="420" w:lineRule="exact"/>
      <w:ind w:firstLine="200" w:firstLineChars="200"/>
    </w:pPr>
    <w:rPr>
      <w:rFonts w:ascii="宋体"/>
    </w:rPr>
  </w:style>
  <w:style w:type="paragraph" w:customStyle="1" w:styleId="134">
    <w:name w:val="表格文字"/>
    <w:basedOn w:val="108"/>
    <w:qFormat/>
    <w:uiPriority w:val="0"/>
    <w:pPr>
      <w:numPr>
        <w:ilvl w:val="0"/>
        <w:numId w:val="4"/>
      </w:numPr>
      <w:tabs>
        <w:tab w:val="clear" w:pos="360"/>
      </w:tabs>
      <w:ind w:left="0" w:firstLine="0"/>
    </w:pPr>
  </w:style>
  <w:style w:type="paragraph" w:customStyle="1" w:styleId="135">
    <w:name w:val="目录1"/>
    <w:basedOn w:val="1"/>
    <w:qFormat/>
    <w:uiPriority w:val="0"/>
    <w:pPr>
      <w:adjustRightInd w:val="0"/>
      <w:spacing w:line="420" w:lineRule="atLeast"/>
      <w:textAlignment w:val="baseline"/>
    </w:pPr>
    <w:rPr>
      <w:rFonts w:eastAsia="黑体"/>
      <w:b/>
      <w:kern w:val="0"/>
      <w:szCs w:val="20"/>
    </w:rPr>
  </w:style>
  <w:style w:type="paragraph" w:customStyle="1" w:styleId="136">
    <w:name w:val="表格1"/>
    <w:basedOn w:val="1"/>
    <w:qFormat/>
    <w:uiPriority w:val="0"/>
    <w:pPr>
      <w:adjustRightInd w:val="0"/>
      <w:spacing w:line="420" w:lineRule="atLeast"/>
      <w:ind w:left="284"/>
      <w:textAlignment w:val="baseline"/>
    </w:pPr>
    <w:rPr>
      <w:kern w:val="0"/>
      <w:szCs w:val="20"/>
    </w:rPr>
  </w:style>
  <w:style w:type="paragraph" w:customStyle="1" w:styleId="137">
    <w:name w:val="1"/>
    <w:basedOn w:val="1"/>
    <w:qFormat/>
    <w:uiPriority w:val="0"/>
    <w:pPr>
      <w:adjustRightInd w:val="0"/>
      <w:spacing w:before="360" w:after="240" w:line="420" w:lineRule="atLeast"/>
      <w:ind w:firstLine="454"/>
      <w:textAlignment w:val="baseline"/>
    </w:pPr>
    <w:rPr>
      <w:b/>
      <w:kern w:val="0"/>
      <w:szCs w:val="20"/>
    </w:rPr>
  </w:style>
  <w:style w:type="paragraph" w:customStyle="1" w:styleId="138">
    <w:name w:val="表格3"/>
    <w:basedOn w:val="1"/>
    <w:qFormat/>
    <w:uiPriority w:val="0"/>
    <w:pPr>
      <w:adjustRightInd w:val="0"/>
      <w:spacing w:line="420" w:lineRule="atLeast"/>
      <w:textAlignment w:val="baseline"/>
    </w:pPr>
    <w:rPr>
      <w:rFonts w:eastAsia="楷体"/>
      <w:kern w:val="0"/>
      <w:szCs w:val="20"/>
    </w:rPr>
  </w:style>
  <w:style w:type="paragraph" w:customStyle="1" w:styleId="13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8088</Words>
  <Characters>8552</Characters>
  <Lines>58</Lines>
  <Paragraphs>16</Paragraphs>
  <TotalTime>32</TotalTime>
  <ScaleCrop>false</ScaleCrop>
  <LinksUpToDate>false</LinksUpToDate>
  <CharactersWithSpaces>8808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2024-03-12T07:37:00Z</dcterms:created>
  <dc:creator>千一</dc:creator>
  <cp:lastModifiedBy>WPS_1478828394</cp:lastModifiedBy>
  <cp:lastPrinted>2024-04-01T02:36:00Z</cp:lastPrinted>
  <dcterms:modified xsi:type="dcterms:W3CDTF">2025-09-15T07:41:23Z</dcterms:modified>
  <dc:subject>文件</dc:subject>
  <dc:title>设计比选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823C40F9632B4FC7847FA633A00E0B1A_13</vt:lpwstr>
  </property>
  <property fmtid="{D5CDD505-2E9C-101B-9397-08002B2CF9AE}" pid="4" name="KSOTemplateDocerSaveRecord">
    <vt:lpwstr>eyJoZGlkIjoiNmQwMmRmN2IzNDU0OThmZWVhOTEyNzhjM2NjOGVkYWUiLCJ1c2VySWQiOiIyOTg4NDI3MjgifQ==</vt:lpwstr>
  </property>
</Properties>
</file>