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BA0D26">
      <w:pPr>
        <w:pStyle w:val="20"/>
        <w:jc w:val="center"/>
        <w:rPr>
          <w:rFonts w:ascii="黑体" w:hAnsi="黑体" w:eastAsia="黑体"/>
          <w:b/>
          <w:bCs/>
          <w:sz w:val="21"/>
          <w:szCs w:val="21"/>
        </w:rPr>
      </w:pPr>
      <w:bookmarkStart w:id="0" w:name="_Toc99301418"/>
    </w:p>
    <w:p w14:paraId="17AC3064">
      <w:pPr>
        <w:pStyle w:val="20"/>
        <w:jc w:val="center"/>
        <w:rPr>
          <w:rFonts w:ascii="黑体" w:hAnsi="黑体" w:eastAsia="黑体"/>
          <w:b/>
          <w:bCs/>
          <w:sz w:val="21"/>
          <w:szCs w:val="21"/>
        </w:rPr>
      </w:pPr>
    </w:p>
    <w:p w14:paraId="02521724">
      <w:pPr>
        <w:jc w:val="center"/>
        <w:rPr>
          <w:b/>
          <w:bCs/>
          <w:sz w:val="60"/>
          <w:szCs w:val="60"/>
        </w:rPr>
      </w:pPr>
    </w:p>
    <w:p w14:paraId="7B3FBD8F">
      <w:pPr>
        <w:rPr>
          <w:b/>
          <w:bCs/>
          <w:sz w:val="60"/>
          <w:szCs w:val="60"/>
        </w:rPr>
      </w:pPr>
    </w:p>
    <w:p w14:paraId="3BE65F58">
      <w:pPr>
        <w:jc w:val="center"/>
        <w:rPr>
          <w:b/>
          <w:bCs/>
          <w:sz w:val="60"/>
          <w:szCs w:val="60"/>
        </w:rPr>
      </w:pPr>
      <w:r>
        <w:rPr>
          <w:rFonts w:hint="eastAsia"/>
          <w:b/>
          <w:bCs/>
          <w:sz w:val="60"/>
          <w:szCs w:val="60"/>
        </w:rPr>
        <w:t>公开比选文件</w:t>
      </w:r>
    </w:p>
    <w:p w14:paraId="3B19A9B2">
      <w:pPr>
        <w:jc w:val="center"/>
        <w:rPr>
          <w:b/>
          <w:bCs/>
          <w:sz w:val="60"/>
          <w:szCs w:val="60"/>
        </w:rPr>
      </w:pPr>
    </w:p>
    <w:p w14:paraId="79055690">
      <w:pPr>
        <w:jc w:val="center"/>
        <w:rPr>
          <w:b/>
          <w:bCs/>
          <w:sz w:val="60"/>
          <w:szCs w:val="60"/>
        </w:rPr>
      </w:pPr>
    </w:p>
    <w:p w14:paraId="023F4E6A">
      <w:pPr>
        <w:spacing w:line="360" w:lineRule="auto"/>
        <w:jc w:val="center"/>
        <w:rPr>
          <w:sz w:val="11"/>
          <w:szCs w:val="11"/>
        </w:rPr>
      </w:pPr>
      <w:r>
        <w:drawing>
          <wp:inline distT="0" distB="0" distL="114300" distR="114300">
            <wp:extent cx="2161540" cy="2161540"/>
            <wp:effectExtent l="0" t="0" r="10160" b="10160"/>
            <wp:docPr id="8" name="图片 8" descr="国信致诚 1 高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信致诚 1 高清图"/>
                    <pic:cNvPicPr>
                      <a:picLocks noChangeAspect="1"/>
                    </pic:cNvPicPr>
                  </pic:nvPicPr>
                  <pic:blipFill>
                    <a:blip r:embed="rId24"/>
                    <a:stretch>
                      <a:fillRect/>
                    </a:stretch>
                  </pic:blipFill>
                  <pic:spPr>
                    <a:xfrm>
                      <a:off x="0" y="0"/>
                      <a:ext cx="2161540" cy="2161540"/>
                    </a:xfrm>
                    <a:prstGeom prst="rect">
                      <a:avLst/>
                    </a:prstGeom>
                    <a:noFill/>
                    <a:ln>
                      <a:noFill/>
                    </a:ln>
                  </pic:spPr>
                </pic:pic>
              </a:graphicData>
            </a:graphic>
          </wp:inline>
        </w:drawing>
      </w:r>
    </w:p>
    <w:p w14:paraId="4AA867D4">
      <w:pPr>
        <w:spacing w:line="360" w:lineRule="auto"/>
        <w:rPr>
          <w:sz w:val="11"/>
          <w:szCs w:val="11"/>
        </w:rPr>
      </w:pPr>
    </w:p>
    <w:p w14:paraId="3A1337DE">
      <w:pPr>
        <w:spacing w:line="360" w:lineRule="auto"/>
        <w:rPr>
          <w:sz w:val="11"/>
          <w:szCs w:val="11"/>
        </w:rPr>
      </w:pPr>
    </w:p>
    <w:p w14:paraId="30DBB31F">
      <w:pPr>
        <w:tabs>
          <w:tab w:val="left" w:pos="3240"/>
          <w:tab w:val="left" w:pos="3420"/>
        </w:tabs>
        <w:spacing w:line="360" w:lineRule="auto"/>
        <w:ind w:firstLine="600" w:firstLineChars="200"/>
        <w:jc w:val="left"/>
        <w:rPr>
          <w:rFonts w:hint="eastAsia" w:ascii="宋体" w:hAnsi="宋体"/>
          <w:bCs/>
          <w:sz w:val="30"/>
          <w:szCs w:val="30"/>
        </w:rPr>
      </w:pPr>
      <w:r>
        <w:rPr>
          <w:rFonts w:ascii="宋体" w:hAnsi="宋体"/>
          <w:bCs/>
          <w:sz w:val="30"/>
          <w:szCs w:val="30"/>
        </w:rPr>
        <w:t>项目名称：</w:t>
      </w:r>
      <w:r>
        <w:rPr>
          <w:rFonts w:hint="eastAsia" w:ascii="宋体" w:hAnsi="宋体"/>
          <w:bCs/>
          <w:sz w:val="30"/>
          <w:szCs w:val="30"/>
        </w:rPr>
        <w:t>2025年环卫中心基建维修项目结算审计</w:t>
      </w:r>
    </w:p>
    <w:p w14:paraId="095C37E3">
      <w:pPr>
        <w:tabs>
          <w:tab w:val="left" w:pos="3240"/>
          <w:tab w:val="left" w:pos="3420"/>
        </w:tabs>
        <w:spacing w:line="360" w:lineRule="auto"/>
        <w:ind w:firstLine="600" w:firstLineChars="200"/>
        <w:jc w:val="left"/>
        <w:rPr>
          <w:rFonts w:hint="eastAsia" w:ascii="宋体" w:hAnsi="宋体"/>
          <w:bCs/>
          <w:sz w:val="30"/>
          <w:szCs w:val="30"/>
          <w:lang w:val="en-US" w:eastAsia="zh-CN"/>
        </w:rPr>
      </w:pPr>
      <w:r>
        <w:rPr>
          <w:rFonts w:ascii="宋体" w:hAnsi="宋体"/>
          <w:bCs/>
          <w:sz w:val="30"/>
          <w:szCs w:val="30"/>
        </w:rPr>
        <w:t>项目编号/包号：</w:t>
      </w:r>
      <w:r>
        <w:rPr>
          <w:rFonts w:hint="eastAsia" w:ascii="宋体" w:hAnsi="宋体"/>
          <w:bCs/>
          <w:sz w:val="30"/>
          <w:szCs w:val="30"/>
        </w:rPr>
        <w:t>GXZB-2025-BX-062</w:t>
      </w:r>
    </w:p>
    <w:p w14:paraId="3B8FF62B">
      <w:pPr>
        <w:tabs>
          <w:tab w:val="left" w:pos="3240"/>
          <w:tab w:val="left" w:pos="3420"/>
        </w:tabs>
        <w:spacing w:line="360" w:lineRule="auto"/>
        <w:ind w:firstLine="600" w:firstLineChars="200"/>
        <w:jc w:val="left"/>
        <w:rPr>
          <w:rFonts w:hint="eastAsia" w:ascii="宋体" w:hAnsi="宋体" w:eastAsia="宋体"/>
          <w:bCs/>
          <w:sz w:val="30"/>
          <w:szCs w:val="30"/>
          <w:lang w:eastAsia="zh-CN"/>
        </w:rPr>
      </w:pPr>
      <w:r>
        <w:rPr>
          <w:rFonts w:ascii="宋体" w:hAnsi="宋体"/>
          <w:bCs/>
          <w:sz w:val="30"/>
          <w:szCs w:val="30"/>
        </w:rPr>
        <w:t>采 购 人：</w:t>
      </w:r>
      <w:r>
        <w:rPr>
          <w:rFonts w:hint="eastAsia" w:ascii="宋体" w:hAnsi="宋体"/>
          <w:bCs/>
          <w:sz w:val="30"/>
          <w:szCs w:val="30"/>
        </w:rPr>
        <w:t>北京市海淀区环境卫生服务中心</w:t>
      </w:r>
    </w:p>
    <w:p w14:paraId="467E74C3">
      <w:pPr>
        <w:tabs>
          <w:tab w:val="left" w:pos="3240"/>
          <w:tab w:val="left" w:pos="3420"/>
        </w:tabs>
        <w:spacing w:line="360" w:lineRule="auto"/>
        <w:ind w:firstLine="600" w:firstLineChars="200"/>
        <w:jc w:val="left"/>
        <w:rPr>
          <w:rFonts w:ascii="宋体" w:hAnsi="宋体"/>
          <w:bCs/>
          <w:sz w:val="30"/>
          <w:szCs w:val="30"/>
        </w:rPr>
      </w:pPr>
      <w:r>
        <w:rPr>
          <w:rFonts w:hint="eastAsia" w:ascii="宋体" w:hAnsi="宋体"/>
          <w:bCs/>
          <w:sz w:val="30"/>
          <w:szCs w:val="30"/>
        </w:rPr>
        <w:t>采购</w:t>
      </w:r>
      <w:r>
        <w:rPr>
          <w:rFonts w:ascii="宋体" w:hAnsi="宋体"/>
          <w:bCs/>
          <w:sz w:val="30"/>
          <w:szCs w:val="30"/>
        </w:rPr>
        <w:t>代理机构：</w:t>
      </w:r>
      <w:r>
        <w:rPr>
          <w:rFonts w:hint="eastAsia" w:ascii="宋体" w:hAnsi="宋体"/>
          <w:bCs/>
          <w:sz w:val="30"/>
          <w:szCs w:val="30"/>
        </w:rPr>
        <w:t>北京国信致诚工程管理有限责任公司</w:t>
      </w:r>
      <w:r>
        <w:rPr>
          <w:rFonts w:ascii="宋体" w:hAnsi="宋体"/>
          <w:bCs/>
          <w:sz w:val="30"/>
          <w:szCs w:val="30"/>
        </w:rPr>
        <w:t xml:space="preserve"> </w:t>
      </w:r>
    </w:p>
    <w:p w14:paraId="13A9B949">
      <w:pPr>
        <w:tabs>
          <w:tab w:val="left" w:pos="3240"/>
          <w:tab w:val="left" w:pos="3420"/>
        </w:tabs>
        <w:spacing w:line="360" w:lineRule="auto"/>
        <w:jc w:val="center"/>
        <w:rPr>
          <w:rFonts w:ascii="宋体" w:hAnsi="宋体"/>
          <w:bCs/>
          <w:sz w:val="30"/>
          <w:szCs w:val="30"/>
        </w:rPr>
      </w:pPr>
    </w:p>
    <w:p w14:paraId="37422EC5">
      <w:pPr>
        <w:tabs>
          <w:tab w:val="left" w:pos="3240"/>
          <w:tab w:val="left" w:pos="3420"/>
        </w:tabs>
        <w:spacing w:line="360" w:lineRule="auto"/>
        <w:jc w:val="center"/>
        <w:rPr>
          <w:rFonts w:ascii="宋体" w:hAnsi="宋体"/>
          <w:bCs/>
          <w:sz w:val="30"/>
          <w:szCs w:val="30"/>
        </w:rPr>
      </w:pPr>
      <w:r>
        <w:rPr>
          <w:rFonts w:hint="eastAsia" w:ascii="宋体" w:hAnsi="宋体"/>
          <w:bCs/>
          <w:sz w:val="30"/>
          <w:szCs w:val="30"/>
        </w:rPr>
        <w:t>2</w:t>
      </w:r>
      <w:r>
        <w:rPr>
          <w:rFonts w:ascii="宋体" w:hAnsi="宋体"/>
          <w:bCs/>
          <w:sz w:val="30"/>
          <w:szCs w:val="30"/>
        </w:rPr>
        <w:t>0</w:t>
      </w:r>
      <w:r>
        <w:rPr>
          <w:rFonts w:hint="eastAsia" w:ascii="宋体" w:hAnsi="宋体"/>
          <w:bCs/>
          <w:sz w:val="30"/>
          <w:szCs w:val="30"/>
        </w:rPr>
        <w:t>2</w:t>
      </w:r>
      <w:r>
        <w:rPr>
          <w:rFonts w:hint="eastAsia" w:ascii="宋体" w:hAnsi="宋体"/>
          <w:bCs/>
          <w:sz w:val="30"/>
          <w:szCs w:val="30"/>
          <w:lang w:val="en-US" w:eastAsia="zh-CN"/>
        </w:rPr>
        <w:t>5</w:t>
      </w:r>
      <w:r>
        <w:rPr>
          <w:rFonts w:hint="eastAsia" w:ascii="宋体" w:hAnsi="宋体"/>
          <w:bCs/>
          <w:sz w:val="30"/>
          <w:szCs w:val="30"/>
        </w:rPr>
        <w:t>年9月</w:t>
      </w:r>
    </w:p>
    <w:p w14:paraId="44C924D5">
      <w:pPr>
        <w:spacing w:line="360" w:lineRule="auto"/>
        <w:jc w:val="center"/>
        <w:rPr>
          <w:b/>
          <w:sz w:val="36"/>
          <w:szCs w:val="36"/>
        </w:rPr>
        <w:sectPr>
          <w:headerReference r:id="rId6" w:type="first"/>
          <w:headerReference r:id="rId5" w:type="default"/>
          <w:footerReference r:id="rId7" w:type="default"/>
          <w:type w:val="nextColumn"/>
          <w:pgSz w:w="11907" w:h="16840"/>
          <w:pgMar w:top="1134" w:right="1418" w:bottom="1134" w:left="1418" w:header="510" w:footer="851" w:gutter="0"/>
          <w:pgNumType w:start="1"/>
          <w:cols w:space="720" w:num="1"/>
          <w:docGrid w:linePitch="462" w:charSpace="0"/>
        </w:sectPr>
      </w:pPr>
    </w:p>
    <w:p w14:paraId="70386DD4">
      <w:pPr>
        <w:spacing w:line="360" w:lineRule="auto"/>
        <w:jc w:val="center"/>
        <w:rPr>
          <w:b/>
          <w:sz w:val="36"/>
          <w:szCs w:val="36"/>
        </w:rPr>
      </w:pPr>
      <w:r>
        <w:rPr>
          <w:b/>
          <w:sz w:val="36"/>
          <w:szCs w:val="36"/>
        </w:rPr>
        <w:t>目 录</w:t>
      </w:r>
      <w:bookmarkEnd w:id="0"/>
    </w:p>
    <w:p w14:paraId="1243DD34"/>
    <w:p w14:paraId="10F44B8D">
      <w:pPr>
        <w:tabs>
          <w:tab w:val="left" w:pos="7470"/>
        </w:tabs>
      </w:pPr>
      <w:r>
        <w:tab/>
      </w:r>
    </w:p>
    <w:p w14:paraId="2DADF089"/>
    <w:p w14:paraId="452E6882">
      <w:pPr>
        <w:pStyle w:val="34"/>
        <w:tabs>
          <w:tab w:val="right" w:leader="dot" w:pos="9071"/>
          <w:tab w:val="clear" w:pos="1050"/>
          <w:tab w:val="clear" w:pos="8937"/>
        </w:tabs>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"_Toc30906" </w:instrText>
      </w:r>
      <w:r>
        <w:fldChar w:fldCharType="separate"/>
      </w:r>
      <w:r>
        <w:rPr>
          <w:szCs w:val="36"/>
        </w:rPr>
        <w:t xml:space="preserve">第一章   </w:t>
      </w:r>
      <w:r>
        <w:rPr>
          <w:rFonts w:hint="eastAsia"/>
          <w:szCs w:val="36"/>
        </w:rPr>
        <w:t>比选邀请</w:t>
      </w:r>
      <w:r>
        <w:tab/>
      </w:r>
      <w:r>
        <w:fldChar w:fldCharType="begin"/>
      </w:r>
      <w:r>
        <w:instrText xml:space="preserve"> PAGEREF _Toc30906 \h </w:instrText>
      </w:r>
      <w:r>
        <w:fldChar w:fldCharType="separate"/>
      </w:r>
      <w:r>
        <w:t>2</w:t>
      </w:r>
      <w:r>
        <w:fldChar w:fldCharType="end"/>
      </w:r>
      <w:r>
        <w:fldChar w:fldCharType="end"/>
      </w:r>
    </w:p>
    <w:p w14:paraId="48B82394">
      <w:pPr>
        <w:pStyle w:val="34"/>
        <w:tabs>
          <w:tab w:val="right" w:leader="dot" w:pos="9071"/>
          <w:tab w:val="clear" w:pos="1050"/>
          <w:tab w:val="clear" w:pos="8937"/>
        </w:tabs>
      </w:pPr>
      <w:r>
        <w:fldChar w:fldCharType="begin"/>
      </w:r>
      <w:r>
        <w:instrText xml:space="preserve"> HYPERLINK \l "_Toc12200" </w:instrText>
      </w:r>
      <w:r>
        <w:fldChar w:fldCharType="separate"/>
      </w:r>
      <w:r>
        <w:rPr>
          <w:szCs w:val="36"/>
        </w:rPr>
        <w:t xml:space="preserve">第二章   </w:t>
      </w:r>
      <w:r>
        <w:rPr>
          <w:rFonts w:hint="eastAsia"/>
          <w:szCs w:val="36"/>
        </w:rPr>
        <w:t>参选人</w:t>
      </w:r>
      <w:r>
        <w:rPr>
          <w:szCs w:val="36"/>
        </w:rPr>
        <w:t>须知</w:t>
      </w:r>
      <w:r>
        <w:tab/>
      </w:r>
      <w:r>
        <w:fldChar w:fldCharType="begin"/>
      </w:r>
      <w:r>
        <w:instrText xml:space="preserve"> PAGEREF _Toc12200 \h </w:instrText>
      </w:r>
      <w:r>
        <w:fldChar w:fldCharType="separate"/>
      </w:r>
      <w:r>
        <w:t>5</w:t>
      </w:r>
      <w:r>
        <w:fldChar w:fldCharType="end"/>
      </w:r>
      <w:r>
        <w:fldChar w:fldCharType="end"/>
      </w:r>
    </w:p>
    <w:p w14:paraId="4B1D28CF">
      <w:pPr>
        <w:pStyle w:val="34"/>
        <w:tabs>
          <w:tab w:val="right" w:leader="dot" w:pos="9071"/>
          <w:tab w:val="clear" w:pos="1050"/>
          <w:tab w:val="clear" w:pos="8937"/>
        </w:tabs>
      </w:pPr>
      <w:r>
        <w:fldChar w:fldCharType="begin"/>
      </w:r>
      <w:r>
        <w:instrText xml:space="preserve"> HYPERLINK \l "_Toc15364" </w:instrText>
      </w:r>
      <w:r>
        <w:fldChar w:fldCharType="separate"/>
      </w:r>
      <w:r>
        <w:rPr>
          <w:szCs w:val="36"/>
        </w:rPr>
        <w:t>第三章   资格审查</w:t>
      </w:r>
      <w:r>
        <w:tab/>
      </w:r>
      <w:r>
        <w:fldChar w:fldCharType="begin"/>
      </w:r>
      <w:r>
        <w:instrText xml:space="preserve"> PAGEREF _Toc15364 \h </w:instrText>
      </w:r>
      <w:r>
        <w:fldChar w:fldCharType="separate"/>
      </w:r>
      <w:r>
        <w:t>24</w:t>
      </w:r>
      <w:r>
        <w:fldChar w:fldCharType="end"/>
      </w:r>
      <w:r>
        <w:fldChar w:fldCharType="end"/>
      </w:r>
    </w:p>
    <w:p w14:paraId="63FD94C3">
      <w:pPr>
        <w:pStyle w:val="34"/>
        <w:tabs>
          <w:tab w:val="right" w:leader="dot" w:pos="9071"/>
          <w:tab w:val="clear" w:pos="1050"/>
          <w:tab w:val="clear" w:pos="8937"/>
        </w:tabs>
      </w:pPr>
      <w:r>
        <w:fldChar w:fldCharType="begin"/>
      </w:r>
      <w:r>
        <w:instrText xml:space="preserve"> HYPERLINK \l "_Toc18412" </w:instrText>
      </w:r>
      <w:r>
        <w:fldChar w:fldCharType="separate"/>
      </w:r>
      <w:r>
        <w:rPr>
          <w:szCs w:val="36"/>
        </w:rPr>
        <w:t>第四章   评标程序、评标方法和评标标准</w:t>
      </w:r>
      <w:r>
        <w:tab/>
      </w:r>
      <w:r>
        <w:fldChar w:fldCharType="begin"/>
      </w:r>
      <w:r>
        <w:instrText xml:space="preserve"> PAGEREF _Toc18412 \h </w:instrText>
      </w:r>
      <w:r>
        <w:fldChar w:fldCharType="separate"/>
      </w:r>
      <w:r>
        <w:t>26</w:t>
      </w:r>
      <w:r>
        <w:fldChar w:fldCharType="end"/>
      </w:r>
      <w:r>
        <w:fldChar w:fldCharType="end"/>
      </w:r>
    </w:p>
    <w:p w14:paraId="1C0EBEC5">
      <w:pPr>
        <w:pStyle w:val="34"/>
        <w:tabs>
          <w:tab w:val="right" w:leader="dot" w:pos="9071"/>
          <w:tab w:val="clear" w:pos="1050"/>
          <w:tab w:val="clear" w:pos="8937"/>
        </w:tabs>
      </w:pPr>
      <w:r>
        <w:fldChar w:fldCharType="begin"/>
      </w:r>
      <w:r>
        <w:instrText xml:space="preserve"> HYPERLINK \l "_Toc1006" </w:instrText>
      </w:r>
      <w:r>
        <w:fldChar w:fldCharType="separate"/>
      </w:r>
      <w:r>
        <w:rPr>
          <w:szCs w:val="36"/>
        </w:rPr>
        <w:t>第五章   采购需求</w:t>
      </w:r>
      <w:r>
        <w:tab/>
      </w:r>
      <w:r>
        <w:fldChar w:fldCharType="begin"/>
      </w:r>
      <w:r>
        <w:instrText xml:space="preserve"> PAGEREF _Toc1006 \h </w:instrText>
      </w:r>
      <w:r>
        <w:fldChar w:fldCharType="separate"/>
      </w:r>
      <w:r>
        <w:t>34</w:t>
      </w:r>
      <w:r>
        <w:fldChar w:fldCharType="end"/>
      </w:r>
      <w:r>
        <w:fldChar w:fldCharType="end"/>
      </w:r>
    </w:p>
    <w:p w14:paraId="3A9552A0">
      <w:pPr>
        <w:pStyle w:val="34"/>
        <w:tabs>
          <w:tab w:val="right" w:leader="dot" w:pos="9071"/>
          <w:tab w:val="clear" w:pos="1050"/>
          <w:tab w:val="clear" w:pos="8937"/>
        </w:tabs>
      </w:pPr>
      <w:r>
        <w:fldChar w:fldCharType="begin"/>
      </w:r>
      <w:r>
        <w:instrText xml:space="preserve"> HYPERLINK \l "_Toc6316" </w:instrText>
      </w:r>
      <w:r>
        <w:fldChar w:fldCharType="separate"/>
      </w:r>
      <w:r>
        <w:rPr>
          <w:rFonts w:hint="eastAsia"/>
          <w:szCs w:val="36"/>
        </w:rPr>
        <w:t xml:space="preserve">第六章  </w:t>
      </w:r>
      <w:r>
        <w:rPr>
          <w:szCs w:val="36"/>
        </w:rPr>
        <w:t xml:space="preserve"> 拟签订的合同文本</w:t>
      </w:r>
      <w:r>
        <w:tab/>
      </w:r>
      <w:r>
        <w:fldChar w:fldCharType="begin"/>
      </w:r>
      <w:r>
        <w:instrText xml:space="preserve"> PAGEREF _Toc6316 \h </w:instrText>
      </w:r>
      <w:r>
        <w:fldChar w:fldCharType="separate"/>
      </w:r>
      <w:r>
        <w:t>35</w:t>
      </w:r>
      <w:r>
        <w:fldChar w:fldCharType="end"/>
      </w:r>
      <w:r>
        <w:fldChar w:fldCharType="end"/>
      </w:r>
    </w:p>
    <w:p w14:paraId="141EEA99">
      <w:pPr>
        <w:pStyle w:val="34"/>
        <w:tabs>
          <w:tab w:val="right" w:leader="dot" w:pos="9071"/>
          <w:tab w:val="clear" w:pos="1050"/>
          <w:tab w:val="clear" w:pos="8937"/>
        </w:tabs>
      </w:pPr>
      <w:r>
        <w:fldChar w:fldCharType="begin"/>
      </w:r>
      <w:r>
        <w:instrText xml:space="preserve"> HYPERLINK \l "_Toc2132" </w:instrText>
      </w:r>
      <w:r>
        <w:fldChar w:fldCharType="separate"/>
      </w:r>
      <w:r>
        <w:rPr>
          <w:szCs w:val="36"/>
        </w:rPr>
        <w:t xml:space="preserve">第七章   </w:t>
      </w:r>
      <w:r>
        <w:rPr>
          <w:rFonts w:hint="eastAsia"/>
          <w:szCs w:val="36"/>
        </w:rPr>
        <w:t>响应文件</w:t>
      </w:r>
      <w:r>
        <w:rPr>
          <w:szCs w:val="36"/>
        </w:rPr>
        <w:t>格式</w:t>
      </w:r>
      <w:r>
        <w:tab/>
      </w:r>
      <w:r>
        <w:fldChar w:fldCharType="begin"/>
      </w:r>
      <w:r>
        <w:instrText xml:space="preserve"> PAGEREF _Toc2132 \h </w:instrText>
      </w:r>
      <w:r>
        <w:fldChar w:fldCharType="separate"/>
      </w:r>
      <w:r>
        <w:t>44</w:t>
      </w:r>
      <w:r>
        <w:fldChar w:fldCharType="end"/>
      </w:r>
      <w:r>
        <w:fldChar w:fldCharType="end"/>
      </w:r>
    </w:p>
    <w:p w14:paraId="75A78FB5">
      <w:pPr>
        <w:pStyle w:val="34"/>
        <w:spacing w:line="360" w:lineRule="auto"/>
        <w:rPr>
          <w:rFonts w:ascii="Times New Roman" w:hAnsi="Times New Roman"/>
          <w:b w:val="0"/>
        </w:rPr>
      </w:pPr>
      <w:r>
        <w:rPr>
          <w:rFonts w:hint="eastAsia" w:cs="宋体"/>
        </w:rPr>
        <w:fldChar w:fldCharType="end"/>
      </w:r>
    </w:p>
    <w:p w14:paraId="46A09998">
      <w:pPr>
        <w:spacing w:line="360" w:lineRule="auto"/>
        <w:jc w:val="center"/>
        <w:outlineLvl w:val="0"/>
        <w:rPr>
          <w:sz w:val="32"/>
          <w:szCs w:val="32"/>
        </w:rPr>
      </w:pPr>
      <w:r>
        <w:rPr>
          <w:sz w:val="24"/>
        </w:rPr>
        <w:br w:type="page"/>
      </w:r>
      <w:bookmarkStart w:id="1" w:name="_Toc30906"/>
      <w:r>
        <w:rPr>
          <w:b/>
          <w:sz w:val="36"/>
          <w:szCs w:val="36"/>
        </w:rPr>
        <w:t xml:space="preserve">第一章   </w:t>
      </w:r>
      <w:r>
        <w:rPr>
          <w:rFonts w:hint="eastAsia"/>
          <w:b/>
          <w:sz w:val="36"/>
          <w:szCs w:val="36"/>
        </w:rPr>
        <w:t>比选邀请</w:t>
      </w:r>
      <w:bookmarkEnd w:id="1"/>
    </w:p>
    <w:p w14:paraId="4ACFA507">
      <w:pPr>
        <w:pStyle w:val="3"/>
        <w:spacing w:before="0" w:line="360" w:lineRule="auto"/>
        <w:jc w:val="left"/>
        <w:rPr>
          <w:rFonts w:ascii="Times New Roman" w:hAnsi="Times New Roman" w:eastAsia="宋体"/>
          <w:sz w:val="24"/>
          <w:szCs w:val="24"/>
        </w:rPr>
      </w:pPr>
      <w:bookmarkStart w:id="2" w:name="_Toc35393621"/>
      <w:bookmarkStart w:id="3" w:name="_Toc28359002"/>
      <w:bookmarkStart w:id="4" w:name="_Toc28359079"/>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2ACB7B27">
      <w:pPr>
        <w:bidi w:val="0"/>
        <w:ind w:left="0" w:leftChars="0" w:firstLine="480" w:firstLineChars="200"/>
        <w:rPr>
          <w:rFonts w:hint="eastAsia"/>
          <w:lang w:eastAsia="zh-CN"/>
        </w:rPr>
      </w:pPr>
      <w:r>
        <w:t>1.项目名称：</w:t>
      </w:r>
      <w:r>
        <w:rPr>
          <w:rFonts w:hint="eastAsia"/>
          <w:u w:val="single"/>
        </w:rPr>
        <w:t>2025年环卫中心基建维修项目结算审计</w:t>
      </w:r>
    </w:p>
    <w:p w14:paraId="02AB9B4A">
      <w:pPr>
        <w:bidi w:val="0"/>
        <w:ind w:left="0" w:leftChars="0" w:firstLine="480" w:firstLineChars="200"/>
      </w:pPr>
      <w:r>
        <w:t>2.项目编号/包号：</w:t>
      </w:r>
      <w:bookmarkEnd w:id="6"/>
      <w:r>
        <w:rPr>
          <w:rFonts w:hint="eastAsia"/>
          <w:u w:val="single"/>
        </w:rPr>
        <w:t>GXZB-2025-BX-062</w:t>
      </w:r>
    </w:p>
    <w:p w14:paraId="3BC49419">
      <w:pPr>
        <w:bidi w:val="0"/>
        <w:ind w:left="0" w:leftChars="0" w:firstLine="480" w:firstLineChars="200"/>
        <w:rPr>
          <w:rFonts w:hint="eastAsia"/>
          <w:lang w:eastAsia="zh-CN"/>
        </w:rPr>
      </w:pPr>
      <w:r>
        <w:t>3.项目预算</w:t>
      </w:r>
      <w:r>
        <w:rPr>
          <w:rFonts w:hint="eastAsia"/>
        </w:rPr>
        <w:t>：人民币</w:t>
      </w:r>
      <w:r>
        <w:rPr>
          <w:rFonts w:hint="eastAsia"/>
          <w:u w:val="single"/>
          <w:lang w:eastAsia="zh-CN"/>
        </w:rPr>
        <w:t>6800.00</w:t>
      </w:r>
      <w:r>
        <w:rPr>
          <w:rFonts w:hint="eastAsia"/>
          <w:lang w:eastAsia="zh-CN"/>
        </w:rPr>
        <w:t>元</w:t>
      </w:r>
    </w:p>
    <w:p w14:paraId="5CD5993F">
      <w:pPr>
        <w:bidi w:val="0"/>
        <w:ind w:left="0" w:leftChars="0" w:firstLine="480" w:firstLineChars="200"/>
      </w:pPr>
      <w:r>
        <w:t>4.采购需求：</w:t>
      </w:r>
    </w:p>
    <w:tbl>
      <w:tblPr>
        <w:tblStyle w:val="51"/>
        <w:tblW w:w="45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334"/>
        <w:gridCol w:w="776"/>
        <w:gridCol w:w="4613"/>
      </w:tblGrid>
      <w:tr w14:paraId="1E92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1" w:type="pct"/>
            <w:vAlign w:val="center"/>
          </w:tcPr>
          <w:p w14:paraId="0AEAE812">
            <w:pPr>
              <w:bidi w:val="0"/>
              <w:jc w:val="center"/>
            </w:pPr>
            <w:r>
              <w:rPr>
                <w:rFonts w:hint="eastAsia"/>
              </w:rPr>
              <w:t>包</w:t>
            </w:r>
            <w:r>
              <w:t>号</w:t>
            </w:r>
          </w:p>
        </w:tc>
        <w:tc>
          <w:tcPr>
            <w:tcW w:w="1368" w:type="pct"/>
            <w:vAlign w:val="center"/>
          </w:tcPr>
          <w:p w14:paraId="381CFB27">
            <w:pPr>
              <w:bidi w:val="0"/>
              <w:jc w:val="center"/>
            </w:pPr>
            <w:r>
              <w:rPr>
                <w:rFonts w:hint="eastAsia"/>
              </w:rPr>
              <w:t>本包</w:t>
            </w:r>
            <w:r>
              <w:t>名称</w:t>
            </w:r>
          </w:p>
        </w:tc>
        <w:tc>
          <w:tcPr>
            <w:tcW w:w="455" w:type="pct"/>
            <w:vAlign w:val="center"/>
          </w:tcPr>
          <w:p w14:paraId="43C9E20A">
            <w:pPr>
              <w:bidi w:val="0"/>
              <w:jc w:val="center"/>
            </w:pPr>
            <w:r>
              <w:t>数量</w:t>
            </w:r>
          </w:p>
        </w:tc>
        <w:tc>
          <w:tcPr>
            <w:tcW w:w="2704" w:type="pct"/>
            <w:vAlign w:val="center"/>
          </w:tcPr>
          <w:p w14:paraId="293E65B2">
            <w:pPr>
              <w:bidi w:val="0"/>
              <w:jc w:val="center"/>
            </w:pPr>
            <w:r>
              <w:t>简要技术需求或服务要求</w:t>
            </w:r>
          </w:p>
        </w:tc>
      </w:tr>
      <w:tr w14:paraId="60A7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71" w:type="pct"/>
            <w:vAlign w:val="center"/>
          </w:tcPr>
          <w:p w14:paraId="2817C27A">
            <w:pPr>
              <w:bidi w:val="0"/>
              <w:jc w:val="center"/>
            </w:pPr>
            <w:r>
              <w:rPr>
                <w:rFonts w:hint="eastAsia"/>
              </w:rPr>
              <w:t>1</w:t>
            </w:r>
          </w:p>
        </w:tc>
        <w:tc>
          <w:tcPr>
            <w:tcW w:w="1368" w:type="pct"/>
            <w:vAlign w:val="center"/>
          </w:tcPr>
          <w:p w14:paraId="410B78D3">
            <w:pPr>
              <w:bidi w:val="0"/>
              <w:spacing w:line="240" w:lineRule="auto"/>
              <w:jc w:val="center"/>
              <w:rPr>
                <w:rFonts w:hint="eastAsia"/>
                <w:lang w:eastAsia="zh-CN"/>
              </w:rPr>
            </w:pPr>
            <w:r>
              <w:rPr>
                <w:rFonts w:hint="eastAsia"/>
                <w:lang w:eastAsia="zh-CN"/>
              </w:rPr>
              <w:t>2025年环卫中心基建维修项目结算审计</w:t>
            </w:r>
          </w:p>
        </w:tc>
        <w:tc>
          <w:tcPr>
            <w:tcW w:w="455" w:type="pct"/>
            <w:vAlign w:val="center"/>
          </w:tcPr>
          <w:p w14:paraId="13B5145B">
            <w:pPr>
              <w:bidi w:val="0"/>
              <w:spacing w:line="240" w:lineRule="auto"/>
              <w:jc w:val="center"/>
            </w:pPr>
            <w:r>
              <w:rPr>
                <w:rFonts w:hint="eastAsia"/>
              </w:rPr>
              <w:t>1</w:t>
            </w:r>
          </w:p>
        </w:tc>
        <w:tc>
          <w:tcPr>
            <w:tcW w:w="2704" w:type="pct"/>
            <w:vAlign w:val="center"/>
          </w:tcPr>
          <w:p w14:paraId="56F40269">
            <w:pPr>
              <w:bidi w:val="0"/>
              <w:spacing w:line="240" w:lineRule="auto"/>
              <w:jc w:val="center"/>
              <w:rPr>
                <w:rFonts w:hint="eastAsia"/>
                <w:lang w:eastAsia="zh-CN"/>
              </w:rPr>
            </w:pPr>
            <w:r>
              <w:rPr>
                <w:rFonts w:hint="eastAsia"/>
                <w:lang w:eastAsia="zh-CN"/>
              </w:rPr>
              <w:t>承担2025年环卫中心基建维修项目的竣工结算审核并出具工程竣工结算审核报告。</w:t>
            </w:r>
          </w:p>
        </w:tc>
      </w:tr>
    </w:tbl>
    <w:p w14:paraId="64D40AF8">
      <w:pPr>
        <w:bidi w:val="0"/>
        <w:ind w:left="0" w:leftChars="0" w:firstLine="480" w:firstLineChars="200"/>
        <w:rPr>
          <w:rFonts w:hint="eastAsia"/>
          <w:lang w:eastAsia="zh-CN"/>
        </w:rPr>
      </w:pPr>
      <w:r>
        <w:rPr>
          <w:rFonts w:hint="eastAsia"/>
        </w:rPr>
        <w:t>服务期</w:t>
      </w:r>
      <w:r>
        <w:t>：</w:t>
      </w:r>
      <w:r>
        <w:rPr>
          <w:rFonts w:hint="eastAsia"/>
          <w:lang w:eastAsia="zh-CN"/>
        </w:rPr>
        <w:t>自签合同之日始，至出具2025年环卫中心技术设施科维修项目的结算审计报告止。</w:t>
      </w:r>
    </w:p>
    <w:p w14:paraId="102BE8B8">
      <w:pPr>
        <w:bidi w:val="0"/>
        <w:ind w:left="0" w:leftChars="0" w:firstLine="480" w:firstLineChars="2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本项目是否接受联合体投标：□是  ■否。</w:t>
      </w:r>
    </w:p>
    <w:p w14:paraId="1942E161">
      <w:pPr>
        <w:pStyle w:val="3"/>
        <w:spacing w:before="0" w:line="360" w:lineRule="auto"/>
        <w:jc w:val="left"/>
        <w:rPr>
          <w:rFonts w:ascii="Times New Roman" w:hAnsi="Times New Roman" w:eastAsia="宋体"/>
          <w:sz w:val="24"/>
          <w:szCs w:val="24"/>
        </w:rPr>
      </w:pPr>
      <w:bookmarkStart w:id="7" w:name="_Toc28359080"/>
      <w:bookmarkStart w:id="8" w:name="_Toc28359003"/>
      <w:bookmarkStart w:id="9" w:name="_Toc35393791"/>
      <w:bookmarkStart w:id="10" w:name="_Toc35393622"/>
      <w:r>
        <w:rPr>
          <w:rFonts w:ascii="Times New Roman" w:hAnsi="Times New Roman" w:eastAsia="宋体"/>
          <w:sz w:val="24"/>
          <w:szCs w:val="24"/>
        </w:rPr>
        <w:t>二、</w:t>
      </w:r>
      <w:r>
        <w:rPr>
          <w:rFonts w:hint="eastAsia" w:ascii="Times New Roman" w:hAnsi="Times New Roman" w:eastAsia="宋体"/>
          <w:sz w:val="24"/>
          <w:szCs w:val="24"/>
        </w:rPr>
        <w:t>参选人</w:t>
      </w:r>
      <w:r>
        <w:rPr>
          <w:rFonts w:ascii="Times New Roman" w:hAnsi="Times New Roman" w:eastAsia="宋体"/>
          <w:sz w:val="24"/>
          <w:szCs w:val="24"/>
        </w:rPr>
        <w:t>的资格要求（须同时满足）</w:t>
      </w:r>
      <w:bookmarkEnd w:id="7"/>
      <w:bookmarkEnd w:id="8"/>
      <w:bookmarkEnd w:id="9"/>
      <w:bookmarkEnd w:id="10"/>
    </w:p>
    <w:p w14:paraId="46BBC3AA">
      <w:pPr>
        <w:bidi w:val="0"/>
        <w:ind w:left="0" w:leftChars="0" w:firstLine="480" w:firstLineChars="200"/>
        <w:rPr>
          <w:rFonts w:hint="eastAsia" w:ascii="宋体" w:hAnsi="宋体" w:eastAsia="宋体" w:cs="宋体"/>
        </w:rPr>
      </w:pPr>
      <w:r>
        <w:rPr>
          <w:rFonts w:hint="eastAsia" w:ascii="宋体" w:hAnsi="宋体" w:eastAsia="宋体" w:cs="宋体"/>
        </w:rPr>
        <w:t>1.满足《中华人民共和国政府采购法》第二十二条规定；</w:t>
      </w:r>
    </w:p>
    <w:p w14:paraId="146E1F35">
      <w:pPr>
        <w:bidi w:val="0"/>
        <w:ind w:left="0" w:leftChars="0" w:firstLine="480" w:firstLineChars="200"/>
        <w:rPr>
          <w:rFonts w:hint="eastAsia" w:ascii="宋体" w:hAnsi="宋体" w:eastAsia="宋体" w:cs="宋体"/>
        </w:rPr>
      </w:pPr>
      <w:bookmarkStart w:id="11" w:name="_Toc28359004"/>
      <w:bookmarkStart w:id="12" w:name="_Toc28359081"/>
      <w:r>
        <w:rPr>
          <w:rFonts w:hint="eastAsia" w:ascii="宋体" w:hAnsi="宋体" w:eastAsia="宋体" w:cs="宋体"/>
        </w:rPr>
        <w:t>2.落实政府采购政策需满足的资格要求：</w:t>
      </w:r>
    </w:p>
    <w:p w14:paraId="33A51672">
      <w:pPr>
        <w:bidi w:val="0"/>
        <w:ind w:left="0" w:leftChars="0" w:firstLine="480" w:firstLineChars="200"/>
        <w:rPr>
          <w:rFonts w:hint="eastAsia" w:ascii="宋体" w:hAnsi="宋体" w:eastAsia="宋体" w:cs="宋体"/>
        </w:rPr>
      </w:pPr>
      <w:r>
        <w:rPr>
          <w:rFonts w:hint="eastAsia" w:ascii="宋体" w:hAnsi="宋体" w:eastAsia="宋体" w:cs="宋体"/>
        </w:rPr>
        <w:t>2.1 中小企业政策</w:t>
      </w:r>
    </w:p>
    <w:p w14:paraId="334FC835">
      <w:pPr>
        <w:bidi w:val="0"/>
        <w:ind w:left="0" w:leftChars="0" w:firstLine="480" w:firstLineChars="200"/>
        <w:rPr>
          <w:rFonts w:hint="eastAsia" w:ascii="宋体" w:hAnsi="宋体" w:eastAsia="宋体" w:cs="宋体"/>
        </w:rPr>
      </w:pPr>
      <w:r>
        <w:rPr>
          <w:rFonts w:hint="eastAsia" w:ascii="宋体" w:hAnsi="宋体" w:eastAsia="宋体" w:cs="宋体"/>
        </w:rPr>
        <w:t>□本项目不专门面向中小企业预留采购份额。</w:t>
      </w:r>
    </w:p>
    <w:p w14:paraId="01A8BCAA">
      <w:pPr>
        <w:bidi w:val="0"/>
        <w:ind w:left="0" w:lef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本项目专门面向  </w:t>
      </w:r>
      <w:r>
        <w:rPr>
          <w:rFonts w:hint="eastAsia" w:ascii="宋体" w:hAnsi="宋体" w:eastAsia="宋体" w:cs="宋体"/>
          <w:lang w:eastAsia="zh-CN"/>
        </w:rPr>
        <w:t>☑</w:t>
      </w:r>
      <w:r>
        <w:rPr>
          <w:rFonts w:hint="eastAsia" w:ascii="宋体" w:hAnsi="宋体" w:eastAsia="宋体" w:cs="宋体"/>
        </w:rPr>
        <w:t>中小 □小微企业  采购。即：提供的货物全部由符合政策要求的中小/小微企业制造、服务全部由符合政策要求的中小/小微企业承接。</w:t>
      </w:r>
    </w:p>
    <w:p w14:paraId="59725DEE">
      <w:pPr>
        <w:bidi w:val="0"/>
        <w:ind w:left="0" w:leftChars="0" w:firstLine="480" w:firstLineChars="200"/>
        <w:rPr>
          <w:rFonts w:ascii="宋体" w:hAnsi="宋体"/>
          <w:sz w:val="24"/>
        </w:rPr>
      </w:pPr>
      <w:r>
        <w:rPr>
          <w:rFonts w:hint="eastAsia" w:ascii="宋体" w:hAnsi="宋体" w:eastAsia="宋体" w:cs="宋体"/>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u w:val="single"/>
        </w:rPr>
        <w:t xml:space="preserve">  /  </w:t>
      </w:r>
      <w:r>
        <w:rPr>
          <w:rFonts w:hint="eastAsia" w:ascii="宋体" w:hAnsi="宋体"/>
          <w:sz w:val="24"/>
        </w:rPr>
        <w:t>。</w:t>
      </w:r>
    </w:p>
    <w:p w14:paraId="3C4AA278">
      <w:pPr>
        <w:bidi w:val="0"/>
        <w:ind w:left="0" w:leftChars="0" w:firstLine="480" w:firstLineChars="200"/>
        <w:rPr>
          <w:rFonts w:hint="eastAsia" w:ascii="宋体" w:hAnsi="宋体" w:eastAsia="宋体" w:cs="宋体"/>
        </w:rPr>
      </w:pPr>
      <w:r>
        <w:rPr>
          <w:rFonts w:hint="eastAsia" w:ascii="宋体" w:hAnsi="宋体" w:eastAsia="宋体" w:cs="宋体"/>
        </w:rPr>
        <w:t>2.2 其它落实政府采购政策的资格要求：</w:t>
      </w:r>
      <w:r>
        <w:rPr>
          <w:rFonts w:hint="eastAsia" w:ascii="宋体" w:hAnsi="宋体" w:eastAsia="宋体" w:cs="宋体"/>
          <w:u w:val="single"/>
        </w:rPr>
        <w:t xml:space="preserve">  /  </w:t>
      </w:r>
      <w:r>
        <w:rPr>
          <w:rFonts w:hint="eastAsia" w:ascii="宋体" w:hAnsi="宋体" w:eastAsia="宋体" w:cs="宋体"/>
        </w:rPr>
        <w:t>。</w:t>
      </w:r>
    </w:p>
    <w:p w14:paraId="7B3B3B5C">
      <w:pPr>
        <w:bidi w:val="0"/>
        <w:ind w:left="0" w:leftChars="0" w:firstLine="480" w:firstLineChars="200"/>
        <w:rPr>
          <w:rFonts w:hint="default" w:ascii="宋体" w:hAnsi="宋体" w:eastAsia="宋体" w:cs="宋体"/>
          <w:u w:val="single"/>
          <w:lang w:val="en-US" w:eastAsia="zh-CN"/>
        </w:rPr>
      </w:pPr>
      <w:r>
        <w:rPr>
          <w:rFonts w:hint="eastAsia" w:ascii="宋体" w:hAnsi="宋体" w:eastAsia="宋体" w:cs="宋体"/>
        </w:rPr>
        <w:t>3.本项目的特定资格要求：</w:t>
      </w:r>
      <w:r>
        <w:rPr>
          <w:rFonts w:hint="eastAsia" w:ascii="宋体" w:hAnsi="宋体" w:eastAsia="宋体" w:cs="宋体"/>
          <w:u w:val="single"/>
          <w:lang w:val="en-US" w:eastAsia="zh-CN"/>
        </w:rPr>
        <w:t xml:space="preserve">  </w:t>
      </w:r>
      <w:r>
        <w:rPr>
          <w:rFonts w:hint="eastAsia" w:ascii="宋体" w:hAnsi="宋体" w:eastAsia="宋体" w:cs="宋体"/>
          <w:u w:val="single"/>
        </w:rPr>
        <w:t>/</w:t>
      </w:r>
      <w:r>
        <w:rPr>
          <w:rFonts w:hint="eastAsia" w:ascii="宋体" w:hAnsi="宋体" w:eastAsia="宋体" w:cs="宋体"/>
          <w:u w:val="single"/>
          <w:lang w:val="en-US" w:eastAsia="zh-CN"/>
        </w:rPr>
        <w:t xml:space="preserve">  </w:t>
      </w:r>
    </w:p>
    <w:p w14:paraId="037752C1">
      <w:pPr>
        <w:bidi w:val="0"/>
        <w:ind w:left="0" w:leftChars="0" w:firstLine="480" w:firstLineChars="200"/>
        <w:rPr>
          <w:rFonts w:hint="eastAsia" w:ascii="宋体" w:hAnsi="宋体" w:eastAsia="宋体" w:cs="宋体"/>
        </w:rPr>
      </w:pPr>
      <w:r>
        <w:rPr>
          <w:rFonts w:hint="eastAsia" w:ascii="宋体" w:hAnsi="宋体" w:eastAsia="宋体" w:cs="宋体"/>
        </w:rPr>
        <w:t xml:space="preserve">3.1本项目是否接受分支机构参与投标：□是   ■否； </w:t>
      </w:r>
    </w:p>
    <w:p w14:paraId="7FA99EFB">
      <w:pPr>
        <w:bidi w:val="0"/>
        <w:ind w:left="0" w:leftChars="0" w:firstLine="480" w:firstLineChars="200"/>
        <w:rPr>
          <w:rFonts w:hint="eastAsia" w:ascii="宋体" w:hAnsi="宋体" w:eastAsia="宋体" w:cs="宋体"/>
        </w:rPr>
      </w:pPr>
      <w:r>
        <w:rPr>
          <w:rFonts w:hint="eastAsia" w:ascii="宋体" w:hAnsi="宋体" w:eastAsia="宋体" w:cs="宋体"/>
        </w:rPr>
        <w:t>3.2本项目是否属于政府购买服务：</w:t>
      </w:r>
    </w:p>
    <w:p w14:paraId="7DB33BEB">
      <w:pPr>
        <w:bidi w:val="0"/>
        <w:ind w:left="0" w:leftChars="0" w:firstLine="960" w:firstLineChars="400"/>
        <w:rPr>
          <w:rFonts w:hint="eastAsia" w:ascii="宋体" w:hAnsi="宋体" w:eastAsia="宋体" w:cs="宋体"/>
        </w:rPr>
      </w:pPr>
      <w:r>
        <w:rPr>
          <w:rFonts w:hint="eastAsia" w:ascii="宋体" w:hAnsi="宋体" w:eastAsia="宋体" w:cs="宋体"/>
        </w:rPr>
        <w:t>■否</w:t>
      </w:r>
    </w:p>
    <w:p w14:paraId="555F4DB2">
      <w:pPr>
        <w:bidi w:val="0"/>
        <w:ind w:left="0" w:leftChars="0" w:firstLine="960" w:firstLineChars="400"/>
        <w:rPr>
          <w:rFonts w:hint="eastAsia" w:ascii="宋体" w:hAnsi="宋体" w:eastAsia="宋体" w:cs="宋体"/>
        </w:rPr>
      </w:pPr>
      <w:r>
        <w:rPr>
          <w:rFonts w:hint="eastAsia" w:ascii="宋体" w:hAnsi="宋体" w:eastAsia="宋体" w:cs="宋体"/>
        </w:rPr>
        <w:t>□是，公益一类事业单位、使用事业编制且由财政拨款保障的群团组织，不得作为承接主体；</w:t>
      </w:r>
    </w:p>
    <w:p w14:paraId="0165C5CC">
      <w:pPr>
        <w:tabs>
          <w:tab w:val="left" w:pos="900"/>
          <w:tab w:val="left" w:pos="1134"/>
          <w:tab w:val="left" w:pos="1589"/>
          <w:tab w:val="left" w:pos="5521"/>
        </w:tabs>
        <w:snapToGrid w:val="0"/>
        <w:spacing w:line="360" w:lineRule="auto"/>
        <w:ind w:firstLine="480" w:firstLineChars="200"/>
        <w:rPr>
          <w:sz w:val="24"/>
        </w:rPr>
      </w:pPr>
      <w:r>
        <w:rPr>
          <w:rFonts w:hint="eastAsia"/>
          <w:sz w:val="24"/>
        </w:rPr>
        <w:t>3</w:t>
      </w:r>
      <w:r>
        <w:rPr>
          <w:sz w:val="24"/>
        </w:rPr>
        <w:t>.3其他特定资格要求：</w:t>
      </w:r>
      <w:r>
        <w:rPr>
          <w:rFonts w:hint="eastAsia"/>
          <w:sz w:val="24"/>
          <w:u w:val="single"/>
        </w:rPr>
        <w:t xml:space="preserve"> / </w:t>
      </w:r>
    </w:p>
    <w:bookmarkEnd w:id="11"/>
    <w:bookmarkEnd w:id="12"/>
    <w:p w14:paraId="78C5B126">
      <w:pPr>
        <w:pStyle w:val="3"/>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w:t>
      </w:r>
      <w:bookmarkEnd w:id="13"/>
      <w:bookmarkEnd w:id="14"/>
      <w:r>
        <w:rPr>
          <w:rFonts w:hint="eastAsia" w:ascii="Times New Roman" w:hAnsi="Times New Roman" w:eastAsia="宋体"/>
          <w:sz w:val="24"/>
          <w:szCs w:val="24"/>
        </w:rPr>
        <w:t>比选文件</w:t>
      </w:r>
    </w:p>
    <w:p w14:paraId="09E3C2B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color w:val="000000" w:themeColor="text1"/>
          <w:sz w:val="24"/>
          <w:highlight w:val="none"/>
          <w14:textFill>
            <w14:solidFill>
              <w14:schemeClr w14:val="tx1"/>
            </w14:solidFill>
          </w14:textFill>
        </w:rPr>
        <w:t>：</w:t>
      </w:r>
      <w:r>
        <w:rPr>
          <w:rFonts w:hint="eastAsia" w:cs="宋体"/>
          <w:b/>
          <w:bCs/>
          <w:color w:val="000000" w:themeColor="text1"/>
          <w:sz w:val="24"/>
          <w:highlight w:val="none"/>
          <w:lang w:val="en-US" w:eastAsia="zh-CN"/>
          <w14:textFill>
            <w14:solidFill>
              <w14:schemeClr w14:val="tx1"/>
            </w14:solidFill>
          </w14:textFill>
        </w:rPr>
        <w:t>2025</w:t>
      </w:r>
      <w:r>
        <w:rPr>
          <w:rFonts w:hint="eastAsia" w:ascii="宋体" w:hAnsi="宋体" w:eastAsia="宋体" w:cs="宋体"/>
          <w:b/>
          <w:bCs/>
          <w:color w:val="000000" w:themeColor="text1"/>
          <w:sz w:val="24"/>
          <w:highlight w:val="none"/>
          <w14:textFill>
            <w14:solidFill>
              <w14:schemeClr w14:val="tx1"/>
            </w14:solidFill>
          </w14:textFill>
        </w:rPr>
        <w:t>年</w:t>
      </w:r>
      <w:r>
        <w:rPr>
          <w:rFonts w:hint="eastAsia"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月</w:t>
      </w:r>
      <w:r>
        <w:rPr>
          <w:rFonts w:hint="eastAsia" w:cs="宋体"/>
          <w:b/>
          <w:bCs/>
          <w:color w:val="000000" w:themeColor="text1"/>
          <w:sz w:val="24"/>
          <w:highlight w:val="none"/>
          <w:lang w:val="en-US" w:eastAsia="zh-CN"/>
          <w14:textFill>
            <w14:solidFill>
              <w14:schemeClr w14:val="tx1"/>
            </w14:solidFill>
          </w14:textFill>
        </w:rPr>
        <w:t>04</w:t>
      </w:r>
      <w:r>
        <w:rPr>
          <w:rFonts w:hint="eastAsia" w:ascii="宋体" w:hAnsi="宋体" w:eastAsia="宋体" w:cs="宋体"/>
          <w:b/>
          <w:bCs/>
          <w:color w:val="000000" w:themeColor="text1"/>
          <w:sz w:val="24"/>
          <w:highlight w:val="none"/>
          <w14:textFill>
            <w14:solidFill>
              <w14:schemeClr w14:val="tx1"/>
            </w14:solidFill>
          </w14:textFill>
        </w:rPr>
        <w:t>日至</w:t>
      </w:r>
      <w:r>
        <w:rPr>
          <w:rFonts w:hint="eastAsia" w:cs="宋体"/>
          <w:b/>
          <w:bCs/>
          <w:color w:val="000000" w:themeColor="text1"/>
          <w:sz w:val="24"/>
          <w:highlight w:val="none"/>
          <w:lang w:val="en-US" w:eastAsia="zh-CN"/>
          <w14:textFill>
            <w14:solidFill>
              <w14:schemeClr w14:val="tx1"/>
            </w14:solidFill>
          </w14:textFill>
        </w:rPr>
        <w:t>2025</w:t>
      </w:r>
      <w:r>
        <w:rPr>
          <w:rFonts w:hint="eastAsia" w:ascii="宋体" w:hAnsi="宋体" w:eastAsia="宋体" w:cs="宋体"/>
          <w:b/>
          <w:bCs/>
          <w:color w:val="000000" w:themeColor="text1"/>
          <w:sz w:val="24"/>
          <w:highlight w:val="none"/>
          <w14:textFill>
            <w14:solidFill>
              <w14:schemeClr w14:val="tx1"/>
            </w14:solidFill>
          </w14:textFill>
        </w:rPr>
        <w:t>年</w:t>
      </w:r>
      <w:r>
        <w:rPr>
          <w:rFonts w:hint="eastAsia"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月</w:t>
      </w:r>
      <w:r>
        <w:rPr>
          <w:rFonts w:hint="eastAsia" w:cs="宋体"/>
          <w:b/>
          <w:bCs/>
          <w:color w:val="000000" w:themeColor="text1"/>
          <w:sz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z w:val="24"/>
          <w:highlight w:val="none"/>
        </w:rPr>
        <w:t>每天上午09:00至11:00，下午13:00至16:0</w:t>
      </w:r>
      <w:r>
        <w:rPr>
          <w:rFonts w:hint="eastAsia" w:ascii="宋体" w:hAnsi="宋体" w:eastAsia="宋体" w:cs="宋体"/>
          <w:sz w:val="24"/>
        </w:rPr>
        <w:t>0（北京时间，法定节假日除外）。</w:t>
      </w:r>
    </w:p>
    <w:p w14:paraId="1BAFDA5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2.地点：北京市海淀区长春桥路11号C1座12A01</w:t>
      </w:r>
    </w:p>
    <w:p w14:paraId="77ACD4D3">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3.方式：</w:t>
      </w:r>
    </w:p>
    <w:p w14:paraId="69E108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1）现场购买及报名</w:t>
      </w:r>
    </w:p>
    <w:p w14:paraId="7C6C91E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购买文件时请携带：营业执照复印件加盖公章、法定代表人授权书原件（格式自拟）、被授权人本人有效身份证复印件（各一份并加盖公章）、报名登记表原件。</w:t>
      </w:r>
    </w:p>
    <w:p w14:paraId="13AFCEA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2）电子文件购买及报名</w:t>
      </w:r>
    </w:p>
    <w:p w14:paraId="0C93ECDC">
      <w:pPr>
        <w:widowControl/>
        <w:adjustRightInd w:val="0"/>
        <w:snapToGrid w:val="0"/>
        <w:spacing w:line="360" w:lineRule="auto"/>
        <w:ind w:firstLine="480" w:firstLineChars="200"/>
        <w:jc w:val="left"/>
        <w:rPr>
          <w:rFonts w:hint="eastAsia" w:ascii="宋体" w:hAnsi="宋体" w:eastAsia="宋体" w:cs="宋体"/>
          <w:sz w:val="24"/>
          <w:highlight w:val="gree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供应商将营业执照复印件、法定代表人授权书原件（格式自拟）、被授权人本人有效身份证复印件、报名登记表原件（格式见附件）各一份并加盖公章的扫描件发送至邮箱gxzhch@gxzhch.com，审核通过后，代理机构将比选文件电子版发送至供应商邮箱；如果审核未通过，代理机构将以邮件形式回复，供应商可以在获取截止时间前再次发送补充或修正后的资料。" </w:instrText>
      </w:r>
      <w:r>
        <w:rPr>
          <w:rFonts w:hint="eastAsia" w:ascii="宋体" w:hAnsi="宋体" w:eastAsia="宋体" w:cs="宋体"/>
          <w:highlight w:val="none"/>
        </w:rPr>
        <w:fldChar w:fldCharType="separate"/>
      </w:r>
      <w:r>
        <w:rPr>
          <w:rFonts w:hint="eastAsia" w:ascii="宋体" w:hAnsi="宋体" w:eastAsia="宋体" w:cs="宋体"/>
          <w:sz w:val="24"/>
          <w:highlight w:val="none"/>
        </w:rPr>
        <w:t>供应商将营业执照复印件加盖公章、法定代表人授权书原件（格式自拟）、被授权人本人有效身份证复印件、报名登记表原件（格式见附件）各一份并加盖公章的扫描件发送至邮箱gxzhch@gxzhch.com，审核通过后，代理机构将比选文件电子版发送至供应商邮箱；如果审核未通过，代理机构将以邮件形式回复，供应商可以在获取截止时间前再次发送补充或修正后的资料。</w:t>
      </w:r>
      <w:r>
        <w:rPr>
          <w:rFonts w:hint="eastAsia" w:ascii="宋体" w:hAnsi="宋体" w:eastAsia="宋体" w:cs="宋体"/>
          <w:sz w:val="24"/>
          <w:highlight w:val="none"/>
        </w:rPr>
        <w:fldChar w:fldCharType="end"/>
      </w:r>
    </w:p>
    <w:p w14:paraId="168D3E4F">
      <w:pPr>
        <w:pStyle w:val="20"/>
        <w:rPr>
          <w:rFonts w:hint="eastAsia" w:ascii="宋体" w:hAnsi="宋体" w:eastAsia="宋体" w:cs="宋体"/>
        </w:rPr>
      </w:pPr>
      <w:r>
        <w:rPr>
          <w:rFonts w:hint="eastAsia" w:ascii="宋体" w:hAnsi="宋体" w:eastAsia="宋体" w:cs="宋体"/>
        </w:rPr>
        <w:t xml:space="preserve">    3）缴费方式：现场交纳现金、现场扫码支付或银行转账。</w:t>
      </w:r>
    </w:p>
    <w:p w14:paraId="2DEB95BD">
      <w:pPr>
        <w:pStyle w:val="20"/>
        <w:rPr>
          <w:rFonts w:hint="eastAsia" w:ascii="宋体" w:hAnsi="宋体" w:eastAsia="宋体" w:cs="宋体"/>
        </w:rPr>
      </w:pPr>
      <w:r>
        <w:rPr>
          <w:rFonts w:hint="eastAsia" w:ascii="宋体" w:hAnsi="宋体" w:eastAsia="宋体" w:cs="宋体"/>
        </w:rPr>
        <w:t xml:space="preserve">    交费账号如下：</w:t>
      </w:r>
    </w:p>
    <w:p w14:paraId="0EDA0249">
      <w:pPr>
        <w:pStyle w:val="20"/>
        <w:rPr>
          <w:rFonts w:hint="eastAsia" w:ascii="宋体" w:hAnsi="宋体" w:eastAsia="宋体" w:cs="宋体"/>
        </w:rPr>
      </w:pPr>
      <w:r>
        <w:rPr>
          <w:rFonts w:hint="eastAsia" w:ascii="宋体" w:hAnsi="宋体" w:eastAsia="宋体" w:cs="宋体"/>
        </w:rPr>
        <w:t xml:space="preserve">    账户名称：北京国信致诚工程管理有限责任公司</w:t>
      </w:r>
    </w:p>
    <w:p w14:paraId="1930BBFE">
      <w:pPr>
        <w:pStyle w:val="20"/>
        <w:ind w:firstLine="480" w:firstLineChars="200"/>
        <w:rPr>
          <w:rFonts w:hint="eastAsia" w:ascii="宋体" w:hAnsi="宋体" w:eastAsia="宋体" w:cs="宋体"/>
        </w:rPr>
      </w:pPr>
      <w:r>
        <w:rPr>
          <w:rFonts w:hint="eastAsia" w:ascii="宋体" w:hAnsi="宋体" w:eastAsia="宋体" w:cs="宋体"/>
        </w:rPr>
        <w:t>开户银行：中国建设银行股份有限公司北京中关村分行</w:t>
      </w:r>
    </w:p>
    <w:p w14:paraId="679D7404">
      <w:pPr>
        <w:pStyle w:val="20"/>
        <w:spacing w:line="360" w:lineRule="auto"/>
        <w:ind w:firstLine="480" w:firstLineChars="200"/>
        <w:rPr>
          <w:rFonts w:hint="eastAsia" w:ascii="宋体" w:hAnsi="宋体" w:eastAsia="宋体" w:cs="宋体"/>
        </w:rPr>
      </w:pPr>
      <w:r>
        <w:rPr>
          <w:rFonts w:hint="eastAsia" w:ascii="宋体" w:hAnsi="宋体" w:eastAsia="宋体" w:cs="宋体"/>
        </w:rPr>
        <w:t>账    号：11050163360000001989</w:t>
      </w:r>
    </w:p>
    <w:p w14:paraId="2D8A91FD">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4.售价：</w:t>
      </w:r>
      <w:r>
        <w:rPr>
          <w:rFonts w:hint="eastAsia" w:ascii="宋体" w:hAnsi="宋体" w:eastAsia="宋体" w:cs="宋体"/>
          <w:sz w:val="24"/>
          <w:lang w:val="en-US" w:eastAsia="zh-CN"/>
        </w:rPr>
        <w:t>0</w:t>
      </w:r>
      <w:r>
        <w:rPr>
          <w:rFonts w:hint="eastAsia" w:ascii="宋体" w:hAnsi="宋体" w:eastAsia="宋体" w:cs="宋体"/>
          <w:sz w:val="24"/>
        </w:rPr>
        <w:t>元每份，售后不退。【如需开具发票，请提供准确的开票信息、票种、以及电子邮箱（用于接收电子发票），以上信息发送至邮箱</w:t>
      </w:r>
      <w:r>
        <w:rPr>
          <w:rFonts w:hint="eastAsia" w:ascii="宋体" w:hAnsi="宋体" w:eastAsia="宋体" w:cs="宋体"/>
          <w:sz w:val="24"/>
          <w:lang w:val="en-US"/>
        </w:rPr>
        <w:t>caiwu@gxzhch.com</w:t>
      </w:r>
      <w:r>
        <w:rPr>
          <w:rFonts w:hint="eastAsia" w:ascii="宋体" w:hAnsi="宋体" w:eastAsia="宋体" w:cs="宋体"/>
          <w:sz w:val="24"/>
        </w:rPr>
        <w:t>，开票有效期为报名之日起至本项目评审结束之日止】</w:t>
      </w:r>
    </w:p>
    <w:p w14:paraId="29572666">
      <w:pPr>
        <w:pStyle w:val="3"/>
        <w:widowControl/>
        <w:spacing w:before="0" w:line="360" w:lineRule="auto"/>
        <w:jc w:val="left"/>
        <w:rPr>
          <w:rFonts w:ascii="Times New Roman" w:hAnsi="Times New Roman" w:eastAsia="宋体"/>
          <w:sz w:val="24"/>
          <w:szCs w:val="24"/>
        </w:rPr>
      </w:pPr>
      <w:bookmarkStart w:id="15" w:name="_Toc28359005"/>
      <w:bookmarkStart w:id="16" w:name="_Toc28359082"/>
      <w:bookmarkStart w:id="17" w:name="_Toc35393624"/>
      <w:bookmarkStart w:id="18" w:name="_Toc35393793"/>
      <w:r>
        <w:rPr>
          <w:rFonts w:ascii="Times New Roman" w:hAnsi="Times New Roman" w:eastAsia="宋体"/>
          <w:sz w:val="24"/>
          <w:szCs w:val="24"/>
        </w:rPr>
        <w:t>四、提交</w:t>
      </w:r>
      <w:bookmarkEnd w:id="15"/>
      <w:bookmarkEnd w:id="16"/>
      <w:r>
        <w:rPr>
          <w:rFonts w:hint="eastAsia" w:ascii="Times New Roman" w:hAnsi="Times New Roman" w:eastAsia="宋体"/>
          <w:sz w:val="24"/>
          <w:szCs w:val="24"/>
        </w:rPr>
        <w:t>响应文件</w:t>
      </w:r>
      <w:r>
        <w:rPr>
          <w:rFonts w:ascii="Times New Roman" w:hAnsi="Times New Roman" w:eastAsia="宋体"/>
          <w:sz w:val="24"/>
          <w:szCs w:val="24"/>
        </w:rPr>
        <w:t>截止时间和地点</w:t>
      </w:r>
      <w:bookmarkEnd w:id="17"/>
      <w:bookmarkEnd w:id="18"/>
    </w:p>
    <w:p w14:paraId="2050141D">
      <w:pPr>
        <w:spacing w:line="360" w:lineRule="auto"/>
        <w:ind w:firstLine="480" w:firstLineChars="200"/>
        <w:rPr>
          <w:bCs/>
          <w:sz w:val="24"/>
          <w:highlight w:val="none"/>
          <w:u w:val="single"/>
        </w:rPr>
      </w:pPr>
      <w:r>
        <w:rPr>
          <w:rFonts w:hint="eastAsia"/>
          <w:sz w:val="24"/>
        </w:rPr>
        <w:t>响应文件递</w:t>
      </w:r>
      <w:bookmarkStart w:id="815" w:name="_GoBack"/>
      <w:r>
        <w:rPr>
          <w:rFonts w:hint="eastAsia"/>
          <w:sz w:val="24"/>
          <w:highlight w:val="none"/>
        </w:rPr>
        <w:t>交</w:t>
      </w:r>
      <w:r>
        <w:rPr>
          <w:sz w:val="24"/>
          <w:highlight w:val="none"/>
        </w:rPr>
        <w:t>截止时间：</w:t>
      </w:r>
      <w:r>
        <w:rPr>
          <w:rFonts w:hint="eastAsia"/>
          <w:color w:val="000000" w:themeColor="text1"/>
          <w:sz w:val="24"/>
          <w:highlight w:val="none"/>
          <w:lang w:val="en-US" w:eastAsia="zh-CN"/>
          <w14:textFill>
            <w14:solidFill>
              <w14:schemeClr w14:val="tx1"/>
            </w14:solidFill>
          </w14:textFill>
        </w:rPr>
        <w:t>2025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09</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09</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14</w:t>
      </w:r>
      <w:r>
        <w:rPr>
          <w:color w:val="000000" w:themeColor="text1"/>
          <w:sz w:val="24"/>
          <w:highlight w:val="none"/>
          <w14:textFill>
            <w14:solidFill>
              <w14:schemeClr w14:val="tx1"/>
            </w14:solidFill>
          </w14:textFill>
        </w:rPr>
        <w:t>点</w:t>
      </w:r>
      <w:r>
        <w:rPr>
          <w:rFonts w:hint="eastAsia"/>
          <w:color w:val="000000" w:themeColor="text1"/>
          <w:sz w:val="24"/>
          <w:highlight w:val="none"/>
          <w14:textFill>
            <w14:solidFill>
              <w14:schemeClr w14:val="tx1"/>
            </w14:solidFill>
          </w14:textFill>
        </w:rPr>
        <w:t>00</w:t>
      </w:r>
      <w:r>
        <w:rPr>
          <w:color w:val="000000" w:themeColor="text1"/>
          <w:sz w:val="24"/>
          <w:highlight w:val="none"/>
          <w14:textFill>
            <w14:solidFill>
              <w14:schemeClr w14:val="tx1"/>
            </w14:solidFill>
          </w14:textFill>
        </w:rPr>
        <w:t>分</w:t>
      </w:r>
      <w:r>
        <w:rPr>
          <w:bCs/>
          <w:sz w:val="24"/>
          <w:highlight w:val="none"/>
        </w:rPr>
        <w:t>（北京时间）</w:t>
      </w:r>
      <w:r>
        <w:rPr>
          <w:iCs/>
          <w:sz w:val="24"/>
          <w:highlight w:val="none"/>
        </w:rPr>
        <w:t>。</w:t>
      </w:r>
    </w:p>
    <w:p w14:paraId="0400FCC7">
      <w:pPr>
        <w:spacing w:line="360" w:lineRule="auto"/>
        <w:ind w:firstLine="480" w:firstLineChars="200"/>
        <w:rPr>
          <w:sz w:val="24"/>
          <w:highlight w:val="none"/>
          <w:lang w:val="zh-TW"/>
        </w:rPr>
      </w:pPr>
      <w:r>
        <w:rPr>
          <w:sz w:val="24"/>
          <w:highlight w:val="none"/>
        </w:rPr>
        <w:t>地点：</w:t>
      </w:r>
      <w:r>
        <w:rPr>
          <w:rFonts w:hint="eastAsia"/>
          <w:sz w:val="24"/>
          <w:highlight w:val="none"/>
        </w:rPr>
        <w:t>北京市海淀区长春桥路11号C1座12A01。</w:t>
      </w:r>
    </w:p>
    <w:p w14:paraId="3EADD93C">
      <w:pPr>
        <w:pStyle w:val="3"/>
        <w:spacing w:before="0" w:line="360" w:lineRule="auto"/>
        <w:jc w:val="left"/>
        <w:rPr>
          <w:rFonts w:ascii="Times New Roman" w:hAnsi="Times New Roman" w:eastAsia="宋体"/>
          <w:sz w:val="24"/>
          <w:szCs w:val="24"/>
          <w:highlight w:val="none"/>
        </w:rPr>
      </w:pPr>
      <w:bookmarkStart w:id="19" w:name="_Toc28359084"/>
      <w:bookmarkStart w:id="20" w:name="_Toc35393794"/>
      <w:bookmarkStart w:id="21" w:name="_Toc28359007"/>
      <w:bookmarkStart w:id="22" w:name="_Toc35393625"/>
      <w:r>
        <w:rPr>
          <w:rFonts w:ascii="Times New Roman" w:hAnsi="Times New Roman" w:eastAsia="宋体"/>
          <w:sz w:val="24"/>
          <w:szCs w:val="24"/>
          <w:highlight w:val="none"/>
        </w:rPr>
        <w:t>五、公告期限</w:t>
      </w:r>
      <w:bookmarkEnd w:id="19"/>
      <w:bookmarkEnd w:id="20"/>
      <w:bookmarkEnd w:id="21"/>
      <w:bookmarkEnd w:id="22"/>
    </w:p>
    <w:bookmarkEnd w:id="815"/>
    <w:p w14:paraId="64B47C0C">
      <w:pPr>
        <w:tabs>
          <w:tab w:val="left" w:pos="7853"/>
        </w:tabs>
        <w:spacing w:line="360" w:lineRule="auto"/>
        <w:ind w:firstLine="480" w:firstLineChars="200"/>
        <w:rPr>
          <w:kern w:val="0"/>
          <w:sz w:val="24"/>
        </w:rPr>
      </w:pPr>
      <w:r>
        <w:rPr>
          <w:rFonts w:hint="eastAsia"/>
          <w:kern w:val="0"/>
          <w:sz w:val="24"/>
        </w:rPr>
        <w:t>/</w:t>
      </w:r>
      <w:r>
        <w:rPr>
          <w:kern w:val="0"/>
          <w:sz w:val="24"/>
        </w:rPr>
        <w:t>。</w:t>
      </w:r>
      <w:r>
        <w:rPr>
          <w:kern w:val="0"/>
          <w:sz w:val="24"/>
        </w:rPr>
        <w:tab/>
      </w:r>
    </w:p>
    <w:p w14:paraId="419A60D5">
      <w:pPr>
        <w:pStyle w:val="3"/>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14:paraId="02CE00CF">
      <w:pPr>
        <w:spacing w:line="360" w:lineRule="auto"/>
        <w:ind w:firstLine="566" w:firstLineChars="236"/>
        <w:rPr>
          <w:rFonts w:hint="eastAsia" w:ascii="宋体" w:hAnsi="宋体" w:eastAsia="宋体" w:cs="宋体"/>
          <w:sz w:val="24"/>
        </w:rPr>
      </w:pPr>
      <w:r>
        <w:rPr>
          <w:rFonts w:hint="eastAsia" w:ascii="宋体" w:hAnsi="宋体" w:eastAsia="宋体" w:cs="宋体"/>
          <w:sz w:val="24"/>
        </w:rPr>
        <w:t>1.评审方法及标准：综合评分法。</w:t>
      </w:r>
    </w:p>
    <w:p w14:paraId="5B81AE46">
      <w:pPr>
        <w:spacing w:line="360" w:lineRule="auto"/>
        <w:ind w:firstLine="566" w:firstLineChars="236"/>
        <w:rPr>
          <w:rFonts w:hint="eastAsia" w:ascii="宋体" w:hAnsi="宋体" w:eastAsia="宋体" w:cs="宋体"/>
          <w:sz w:val="24"/>
        </w:rPr>
      </w:pPr>
      <w:r>
        <w:rPr>
          <w:rFonts w:hint="eastAsia" w:ascii="宋体" w:hAnsi="宋体" w:eastAsia="宋体" w:cs="宋体"/>
          <w:sz w:val="24"/>
        </w:rPr>
        <w:t>2.公告发布媒体：</w:t>
      </w:r>
      <w:r>
        <w:rPr>
          <w:rFonts w:hint="eastAsia" w:ascii="宋体" w:hAnsi="宋体" w:eastAsia="宋体" w:cs="宋体"/>
          <w:sz w:val="24"/>
          <w:lang w:val="en-US" w:eastAsia="zh-CN"/>
        </w:rPr>
        <w:t>北京市中介服务网上交易平台</w:t>
      </w:r>
      <w:r>
        <w:rPr>
          <w:rFonts w:hint="eastAsia" w:ascii="宋体" w:hAnsi="宋体" w:eastAsia="宋体" w:cs="宋体"/>
          <w:sz w:val="24"/>
        </w:rPr>
        <w:t>。</w:t>
      </w:r>
    </w:p>
    <w:p w14:paraId="775DEBE1">
      <w:pPr>
        <w:pStyle w:val="3"/>
        <w:spacing w:before="0" w:line="360" w:lineRule="auto"/>
        <w:jc w:val="left"/>
        <w:rPr>
          <w:rFonts w:ascii="Times New Roman" w:hAnsi="Times New Roman" w:eastAsia="宋体"/>
          <w:sz w:val="24"/>
          <w:szCs w:val="24"/>
        </w:rPr>
      </w:pPr>
      <w:bookmarkStart w:id="25" w:name="_Toc35393796"/>
      <w:bookmarkStart w:id="26" w:name="_Toc35393627"/>
      <w:bookmarkStart w:id="27" w:name="_Toc28359085"/>
      <w:bookmarkStart w:id="28" w:name="_Toc28359008"/>
      <w:r>
        <w:rPr>
          <w:rFonts w:ascii="Times New Roman" w:hAnsi="Times New Roman" w:eastAsia="宋体"/>
          <w:sz w:val="24"/>
          <w:szCs w:val="24"/>
        </w:rPr>
        <w:t>七、对本次</w:t>
      </w:r>
      <w:r>
        <w:rPr>
          <w:rFonts w:hint="eastAsia" w:ascii="Times New Roman" w:hAnsi="Times New Roman" w:eastAsia="宋体"/>
          <w:sz w:val="24"/>
          <w:szCs w:val="24"/>
        </w:rPr>
        <w:t>比选</w:t>
      </w:r>
      <w:r>
        <w:rPr>
          <w:rFonts w:ascii="Times New Roman" w:hAnsi="Times New Roman" w:eastAsia="宋体"/>
          <w:sz w:val="24"/>
          <w:szCs w:val="24"/>
        </w:rPr>
        <w:t>提出询问，请按以下方式联系。</w:t>
      </w:r>
      <w:bookmarkEnd w:id="25"/>
      <w:bookmarkEnd w:id="26"/>
      <w:bookmarkEnd w:id="27"/>
      <w:bookmarkEnd w:id="28"/>
    </w:p>
    <w:p w14:paraId="6C1C14ED">
      <w:pPr>
        <w:spacing w:line="360" w:lineRule="auto"/>
        <w:ind w:left="1191" w:leftChars="371" w:hanging="301" w:hangingChars="125"/>
        <w:jc w:val="left"/>
        <w:rPr>
          <w:b/>
          <w:sz w:val="24"/>
        </w:rPr>
      </w:pPr>
      <w:r>
        <w:rPr>
          <w:b/>
          <w:sz w:val="24"/>
        </w:rPr>
        <w:t>1.采购人信息</w:t>
      </w:r>
    </w:p>
    <w:p w14:paraId="451ADDEB">
      <w:pPr>
        <w:spacing w:line="360" w:lineRule="auto"/>
        <w:ind w:left="1190" w:leftChars="371" w:hanging="300" w:hangingChars="125"/>
        <w:jc w:val="left"/>
        <w:rPr>
          <w:rFonts w:hint="eastAsia" w:eastAsia="宋体"/>
          <w:sz w:val="24"/>
          <w:lang w:eastAsia="zh-CN"/>
        </w:rPr>
      </w:pPr>
      <w:bookmarkStart w:id="29" w:name="_Toc28359086"/>
      <w:bookmarkStart w:id="30" w:name="_Toc28359009"/>
      <w:r>
        <w:rPr>
          <w:sz w:val="24"/>
        </w:rPr>
        <w:t>名    称：</w:t>
      </w:r>
      <w:r>
        <w:rPr>
          <w:rFonts w:hint="eastAsia"/>
          <w:sz w:val="24"/>
          <w:lang w:eastAsia="zh-CN"/>
        </w:rPr>
        <w:t>北京市海淀区环境卫生服务中心</w:t>
      </w:r>
    </w:p>
    <w:p w14:paraId="692BF699">
      <w:pPr>
        <w:spacing w:line="360" w:lineRule="auto"/>
        <w:ind w:left="1190" w:leftChars="371" w:hanging="300" w:hangingChars="125"/>
        <w:jc w:val="left"/>
        <w:rPr>
          <w:sz w:val="24"/>
          <w:highlight w:val="none"/>
        </w:rPr>
      </w:pPr>
      <w:r>
        <w:rPr>
          <w:sz w:val="24"/>
          <w:highlight w:val="none"/>
        </w:rPr>
        <w:t>地    址：</w:t>
      </w:r>
      <w:r>
        <w:rPr>
          <w:rFonts w:hint="eastAsia"/>
          <w:sz w:val="24"/>
          <w:highlight w:val="none"/>
          <w:lang w:eastAsia="zh-CN"/>
        </w:rPr>
        <w:t>北京市海淀区海淀南路36号</w:t>
      </w:r>
    </w:p>
    <w:p w14:paraId="4C37499F">
      <w:pPr>
        <w:spacing w:line="360" w:lineRule="auto"/>
        <w:ind w:left="1190" w:leftChars="371" w:hanging="300" w:hangingChars="125"/>
        <w:jc w:val="left"/>
        <w:rPr>
          <w:sz w:val="24"/>
        </w:rPr>
      </w:pPr>
      <w:r>
        <w:rPr>
          <w:sz w:val="24"/>
        </w:rPr>
        <w:t>联系方式：</w:t>
      </w:r>
      <w:r>
        <w:rPr>
          <w:rFonts w:hint="eastAsia"/>
          <w:sz w:val="24"/>
          <w:lang w:val="en-US" w:eastAsia="zh-CN"/>
        </w:rPr>
        <w:t>于老师</w:t>
      </w:r>
      <w:r>
        <w:rPr>
          <w:rFonts w:hint="eastAsia"/>
          <w:sz w:val="24"/>
        </w:rPr>
        <w:t xml:space="preserve"> </w:t>
      </w:r>
      <w:bookmarkEnd w:id="29"/>
      <w:bookmarkEnd w:id="30"/>
      <w:r>
        <w:rPr>
          <w:rFonts w:hint="eastAsia"/>
          <w:sz w:val="24"/>
        </w:rPr>
        <w:t>010-82653956</w:t>
      </w:r>
    </w:p>
    <w:p w14:paraId="57326582">
      <w:pPr>
        <w:spacing w:line="360" w:lineRule="auto"/>
        <w:ind w:left="1191" w:leftChars="371" w:hanging="301" w:hangingChars="125"/>
        <w:jc w:val="left"/>
        <w:rPr>
          <w:b/>
          <w:sz w:val="24"/>
        </w:rPr>
      </w:pPr>
      <w:r>
        <w:rPr>
          <w:b/>
          <w:sz w:val="24"/>
        </w:rPr>
        <w:t>2.采购代理机构信息</w:t>
      </w:r>
    </w:p>
    <w:p w14:paraId="595AC1F1">
      <w:pPr>
        <w:spacing w:line="360" w:lineRule="auto"/>
        <w:ind w:left="1190" w:leftChars="371" w:hanging="300" w:hangingChars="125"/>
        <w:jc w:val="left"/>
        <w:rPr>
          <w:sz w:val="24"/>
        </w:rPr>
      </w:pPr>
      <w:bookmarkStart w:id="31" w:name="_Toc28359010"/>
      <w:bookmarkStart w:id="32" w:name="_Toc28359087"/>
      <w:r>
        <w:rPr>
          <w:rFonts w:hint="eastAsia"/>
          <w:sz w:val="24"/>
        </w:rPr>
        <w:t>名    称：北京国信致诚工程管理有限责任公司</w:t>
      </w:r>
    </w:p>
    <w:p w14:paraId="1657BD08">
      <w:pPr>
        <w:spacing w:line="360" w:lineRule="auto"/>
        <w:ind w:left="1190" w:leftChars="371" w:hanging="300" w:hangingChars="125"/>
        <w:jc w:val="left"/>
        <w:rPr>
          <w:sz w:val="24"/>
        </w:rPr>
      </w:pPr>
      <w:r>
        <w:rPr>
          <w:rFonts w:hint="eastAsia"/>
          <w:sz w:val="24"/>
        </w:rPr>
        <w:t>地    址：北京市海淀区长春桥路11号C1座12A01</w:t>
      </w:r>
    </w:p>
    <w:p w14:paraId="6DEC2671">
      <w:pPr>
        <w:spacing w:line="360" w:lineRule="auto"/>
        <w:ind w:left="1190" w:leftChars="371" w:hanging="300" w:hangingChars="125"/>
        <w:jc w:val="left"/>
        <w:rPr>
          <w:sz w:val="24"/>
        </w:rPr>
      </w:pPr>
      <w:r>
        <w:rPr>
          <w:rFonts w:hint="eastAsia"/>
          <w:sz w:val="24"/>
        </w:rPr>
        <w:t>联系方式：010-58816687</w:t>
      </w:r>
    </w:p>
    <w:p w14:paraId="5A5177F1">
      <w:pPr>
        <w:spacing w:line="360" w:lineRule="auto"/>
        <w:ind w:left="1191" w:leftChars="371" w:hanging="301" w:hangingChars="125"/>
        <w:jc w:val="left"/>
        <w:rPr>
          <w:b/>
          <w:sz w:val="24"/>
        </w:rPr>
      </w:pPr>
      <w:r>
        <w:rPr>
          <w:b/>
          <w:sz w:val="24"/>
        </w:rPr>
        <w:t>3.项目联系方式</w:t>
      </w:r>
      <w:bookmarkEnd w:id="31"/>
      <w:bookmarkEnd w:id="32"/>
    </w:p>
    <w:p w14:paraId="5631B422">
      <w:pPr>
        <w:spacing w:line="360" w:lineRule="auto"/>
        <w:ind w:left="1190" w:leftChars="371" w:hanging="300" w:hangingChars="125"/>
        <w:jc w:val="left"/>
        <w:rPr>
          <w:sz w:val="24"/>
        </w:rPr>
      </w:pPr>
      <w:r>
        <w:rPr>
          <w:rFonts w:hint="eastAsia"/>
          <w:sz w:val="24"/>
        </w:rPr>
        <w:t>项目联系人：</w:t>
      </w:r>
      <w:r>
        <w:rPr>
          <w:rFonts w:hint="eastAsia" w:ascii="宋体" w:hAnsi="宋体" w:eastAsia="宋体"/>
          <w:sz w:val="24"/>
          <w:szCs w:val="24"/>
        </w:rPr>
        <w:t>高老师</w:t>
      </w:r>
    </w:p>
    <w:p w14:paraId="7531E916">
      <w:pPr>
        <w:spacing w:line="360" w:lineRule="auto"/>
        <w:ind w:left="1190" w:leftChars="371" w:hanging="300" w:hangingChars="125"/>
        <w:jc w:val="left"/>
        <w:rPr>
          <w:sz w:val="24"/>
        </w:rPr>
      </w:pPr>
      <w:r>
        <w:rPr>
          <w:rFonts w:hint="eastAsia"/>
          <w:sz w:val="24"/>
        </w:rPr>
        <w:t>电      话：010-58816687</w:t>
      </w:r>
    </w:p>
    <w:p w14:paraId="0D75E087">
      <w:pPr>
        <w:spacing w:line="360" w:lineRule="auto"/>
        <w:jc w:val="center"/>
        <w:outlineLvl w:val="0"/>
        <w:rPr>
          <w:b/>
          <w:sz w:val="32"/>
          <w:szCs w:val="32"/>
        </w:rPr>
      </w:pPr>
      <w:r>
        <w:rPr>
          <w:sz w:val="24"/>
        </w:rPr>
        <w:br w:type="page"/>
      </w:r>
      <w:bookmarkStart w:id="33" w:name="_Toc127151777"/>
      <w:bookmarkStart w:id="34" w:name="_Toc353873938"/>
      <w:bookmarkStart w:id="35" w:name="_Toc353825548"/>
      <w:bookmarkStart w:id="36" w:name="_Toc264969275"/>
      <w:bookmarkStart w:id="37" w:name="_Toc195842950"/>
      <w:bookmarkStart w:id="38" w:name="_Toc305158928"/>
      <w:bookmarkStart w:id="39" w:name="_Toc226965856"/>
      <w:bookmarkStart w:id="40" w:name="_Toc150774783"/>
      <w:bookmarkStart w:id="41" w:name="_Toc265228423"/>
      <w:bookmarkStart w:id="42" w:name="_Toc512937850"/>
      <w:bookmarkStart w:id="43" w:name="_Toc305158854"/>
      <w:bookmarkStart w:id="44" w:name="_Toc12200"/>
      <w:bookmarkStart w:id="45" w:name="_Toc127161488"/>
      <w:r>
        <w:rPr>
          <w:b/>
          <w:sz w:val="36"/>
          <w:szCs w:val="36"/>
        </w:rPr>
        <w:t xml:space="preserve">第二章   </w:t>
      </w:r>
      <w:r>
        <w:rPr>
          <w:rFonts w:hint="eastAsia"/>
          <w:b/>
          <w:sz w:val="36"/>
          <w:szCs w:val="36"/>
        </w:rPr>
        <w:t>参选人</w:t>
      </w:r>
      <w:r>
        <w:rPr>
          <w:b/>
          <w:sz w:val="36"/>
          <w:szCs w:val="36"/>
        </w:rPr>
        <w:t>须知</w:t>
      </w:r>
      <w:bookmarkEnd w:id="33"/>
      <w:bookmarkEnd w:id="34"/>
      <w:bookmarkEnd w:id="35"/>
      <w:bookmarkEnd w:id="36"/>
      <w:bookmarkEnd w:id="37"/>
      <w:bookmarkEnd w:id="38"/>
      <w:bookmarkEnd w:id="39"/>
      <w:bookmarkEnd w:id="40"/>
      <w:bookmarkEnd w:id="41"/>
      <w:bookmarkEnd w:id="42"/>
      <w:bookmarkEnd w:id="43"/>
      <w:bookmarkEnd w:id="44"/>
      <w:bookmarkEnd w:id="45"/>
    </w:p>
    <w:p w14:paraId="245FA2F9">
      <w:pPr>
        <w:pStyle w:val="3"/>
        <w:tabs>
          <w:tab w:val="center" w:pos="4592"/>
          <w:tab w:val="left" w:pos="7860"/>
        </w:tabs>
        <w:spacing w:before="0" w:line="360" w:lineRule="auto"/>
        <w:rPr>
          <w:rFonts w:ascii="Times New Roman" w:hAnsi="Times New Roman" w:eastAsia="宋体"/>
          <w:sz w:val="28"/>
        </w:rPr>
      </w:pPr>
      <w:bookmarkStart w:id="46" w:name="_Toc142311021"/>
      <w:bookmarkStart w:id="47" w:name="_Toc150774619"/>
      <w:bookmarkStart w:id="48" w:name="_Toc151193907"/>
      <w:bookmarkStart w:id="49" w:name="_Toc164229360"/>
      <w:bookmarkStart w:id="50" w:name="_Toc127151519"/>
      <w:bookmarkStart w:id="51" w:name="_Toc151193689"/>
      <w:bookmarkStart w:id="52" w:name="_Toc150774724"/>
      <w:bookmarkStart w:id="53" w:name="_Toc151190146"/>
      <w:bookmarkStart w:id="54" w:name="_Toc127151720"/>
      <w:bookmarkStart w:id="55" w:name="_Toc151193761"/>
      <w:bookmarkStart w:id="56" w:name="_Toc226965709"/>
      <w:bookmarkStart w:id="57" w:name="_Toc226309763"/>
      <w:bookmarkStart w:id="58" w:name="_Toc151193617"/>
      <w:bookmarkStart w:id="59" w:name="_Toc127161433"/>
      <w:bookmarkStart w:id="60" w:name="_Toc164608788"/>
      <w:bookmarkStart w:id="61" w:name="_Toc150480757"/>
      <w:bookmarkStart w:id="62" w:name="_Toc164351613"/>
      <w:bookmarkStart w:id="63" w:name="_Toc164608633"/>
      <w:bookmarkStart w:id="64" w:name="_Toc150509270"/>
      <w:bookmarkStart w:id="65" w:name="_Toc520356144"/>
      <w:bookmarkStart w:id="66" w:name="_Toc195842884"/>
      <w:bookmarkStart w:id="67" w:name="_Toc164229214"/>
      <w:bookmarkStart w:id="68" w:name="_Toc151193833"/>
      <w:bookmarkStart w:id="69" w:name="_Toc226337215"/>
      <w:bookmarkStart w:id="70" w:name="_Toc226965792"/>
      <w:bookmarkStart w:id="71" w:name="_Toc149720812"/>
      <w:r>
        <w:rPr>
          <w:rFonts w:hint="eastAsia" w:ascii="Times New Roman" w:hAnsi="Times New Roman" w:eastAsia="宋体"/>
          <w:sz w:val="28"/>
        </w:rPr>
        <w:t>参选人</w:t>
      </w:r>
      <w:r>
        <w:rPr>
          <w:rFonts w:ascii="Times New Roman" w:hAnsi="Times New Roman" w:eastAsia="宋体"/>
          <w:sz w:val="28"/>
        </w:rPr>
        <w:t>须知资料表</w:t>
      </w:r>
    </w:p>
    <w:p w14:paraId="0C9E9265">
      <w:pPr>
        <w:jc w:val="center"/>
        <w:rPr>
          <w:b/>
          <w:sz w:val="28"/>
          <w:szCs w:val="28"/>
        </w:rPr>
      </w:pPr>
    </w:p>
    <w:p w14:paraId="679FDA6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本表是对参选人须知的具体补充和修改，如有矛盾，均以本资料表为准。标记</w:t>
      </w:r>
      <w:r>
        <w:rPr>
          <w:rFonts w:hint="eastAsia" w:ascii="宋体" w:hAnsi="宋体" w:eastAsia="宋体" w:cs="宋体"/>
          <w:color w:val="000000"/>
          <w:sz w:val="24"/>
          <w:szCs w:val="24"/>
        </w:rPr>
        <w:t>“</w:t>
      </w:r>
      <w:r>
        <w:rPr>
          <w:rFonts w:hint="eastAsia" w:ascii="宋体" w:hAnsi="宋体" w:eastAsia="宋体" w:cs="宋体"/>
          <w:b/>
          <w:color w:val="000000"/>
          <w:sz w:val="24"/>
          <w:szCs w:val="24"/>
        </w:rPr>
        <w:t>■</w:t>
      </w:r>
      <w:r>
        <w:rPr>
          <w:rFonts w:hint="eastAsia" w:ascii="宋体" w:hAnsi="宋体" w:eastAsia="宋体" w:cs="宋体"/>
          <w:color w:val="000000"/>
          <w:sz w:val="24"/>
          <w:szCs w:val="24"/>
        </w:rPr>
        <w:t>”</w:t>
      </w:r>
      <w:r>
        <w:rPr>
          <w:rFonts w:hint="eastAsia" w:ascii="宋体" w:hAnsi="宋体" w:eastAsia="宋体" w:cs="宋体"/>
          <w:sz w:val="24"/>
          <w:szCs w:val="24"/>
        </w:rPr>
        <w:t>的选项意为适用于本项目，标记“□”的选项意为不适用于本项目。</w:t>
      </w:r>
    </w:p>
    <w:tbl>
      <w:tblPr>
        <w:tblStyle w:val="5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372"/>
        <w:gridCol w:w="6749"/>
      </w:tblGrid>
      <w:tr w14:paraId="74EE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898" w:type="dxa"/>
            <w:vAlign w:val="center"/>
          </w:tcPr>
          <w:p w14:paraId="46A16A87">
            <w:pPr>
              <w:jc w:val="center"/>
              <w:rPr>
                <w:rFonts w:hint="eastAsia" w:ascii="宋体" w:hAnsi="宋体" w:eastAsia="宋体" w:cs="宋体"/>
                <w:b/>
                <w:bCs/>
                <w:sz w:val="24"/>
                <w:szCs w:val="24"/>
              </w:rPr>
            </w:pPr>
            <w:r>
              <w:rPr>
                <w:rFonts w:hint="eastAsia" w:ascii="宋体" w:hAnsi="宋体" w:eastAsia="宋体" w:cs="宋体"/>
                <w:b/>
                <w:sz w:val="24"/>
                <w:szCs w:val="24"/>
              </w:rPr>
              <w:t>条款号</w:t>
            </w:r>
          </w:p>
        </w:tc>
        <w:tc>
          <w:tcPr>
            <w:tcW w:w="1372" w:type="dxa"/>
            <w:vAlign w:val="center"/>
          </w:tcPr>
          <w:p w14:paraId="4A48EB8D">
            <w:pPr>
              <w:jc w:val="center"/>
              <w:rPr>
                <w:rFonts w:hint="eastAsia" w:ascii="宋体" w:hAnsi="宋体" w:eastAsia="宋体" w:cs="宋体"/>
                <w:b/>
                <w:bCs/>
                <w:sz w:val="24"/>
                <w:szCs w:val="24"/>
              </w:rPr>
            </w:pPr>
            <w:r>
              <w:rPr>
                <w:rFonts w:hint="eastAsia" w:ascii="宋体" w:hAnsi="宋体" w:eastAsia="宋体" w:cs="宋体"/>
                <w:b/>
                <w:bCs/>
                <w:sz w:val="24"/>
                <w:szCs w:val="24"/>
              </w:rPr>
              <w:t>条目</w:t>
            </w:r>
          </w:p>
        </w:tc>
        <w:tc>
          <w:tcPr>
            <w:tcW w:w="6749" w:type="dxa"/>
            <w:vAlign w:val="center"/>
          </w:tcPr>
          <w:p w14:paraId="1C553764">
            <w:pPr>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14:paraId="7E8A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8" w:type="dxa"/>
            <w:vAlign w:val="center"/>
          </w:tcPr>
          <w:p w14:paraId="2D5CD77E">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2.1</w:t>
            </w:r>
          </w:p>
        </w:tc>
        <w:tc>
          <w:tcPr>
            <w:tcW w:w="1372" w:type="dxa"/>
            <w:vAlign w:val="center"/>
          </w:tcPr>
          <w:p w14:paraId="766C8970">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749" w:type="dxa"/>
            <w:vAlign w:val="center"/>
          </w:tcPr>
          <w:p w14:paraId="6901F3E0">
            <w:pPr>
              <w:pStyle w:val="26"/>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■财政性资金    □自有资金       □其他：</w:t>
            </w:r>
            <w:r>
              <w:rPr>
                <w:rFonts w:hint="eastAsia" w:ascii="宋体" w:hAnsi="宋体" w:eastAsia="宋体" w:cs="宋体"/>
                <w:sz w:val="24"/>
                <w:szCs w:val="24"/>
                <w:u w:val="single"/>
              </w:rPr>
              <w:t xml:space="preserve">        </w:t>
            </w:r>
          </w:p>
        </w:tc>
      </w:tr>
      <w:tr w14:paraId="7359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98" w:type="dxa"/>
            <w:vAlign w:val="center"/>
          </w:tcPr>
          <w:p w14:paraId="023A4774">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372" w:type="dxa"/>
            <w:vAlign w:val="center"/>
          </w:tcPr>
          <w:p w14:paraId="4F9DD775">
            <w:pPr>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6749" w:type="dxa"/>
            <w:vAlign w:val="center"/>
          </w:tcPr>
          <w:p w14:paraId="6231F000">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项目属性：</w:t>
            </w:r>
          </w:p>
          <w:p w14:paraId="31F893FB">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■服务      □货物</w:t>
            </w:r>
          </w:p>
        </w:tc>
      </w:tr>
      <w:tr w14:paraId="7CF2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98" w:type="dxa"/>
            <w:vAlign w:val="center"/>
          </w:tcPr>
          <w:p w14:paraId="5F5A698D">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1372" w:type="dxa"/>
            <w:vAlign w:val="center"/>
          </w:tcPr>
          <w:p w14:paraId="28724974">
            <w:pPr>
              <w:jc w:val="center"/>
              <w:rPr>
                <w:rFonts w:hint="eastAsia" w:ascii="宋体" w:hAnsi="宋体" w:eastAsia="宋体" w:cs="宋体"/>
                <w:sz w:val="24"/>
                <w:szCs w:val="24"/>
              </w:rPr>
            </w:pPr>
            <w:r>
              <w:rPr>
                <w:rFonts w:hint="eastAsia" w:ascii="宋体" w:hAnsi="宋体" w:eastAsia="宋体" w:cs="宋体"/>
                <w:sz w:val="24"/>
                <w:szCs w:val="24"/>
              </w:rPr>
              <w:t>科研仪器设备</w:t>
            </w:r>
          </w:p>
        </w:tc>
        <w:tc>
          <w:tcPr>
            <w:tcW w:w="6749" w:type="dxa"/>
            <w:vAlign w:val="center"/>
          </w:tcPr>
          <w:p w14:paraId="41794810">
            <w:pPr>
              <w:spacing w:line="360" w:lineRule="auto"/>
              <w:jc w:val="left"/>
              <w:rPr>
                <w:rFonts w:hint="eastAsia" w:ascii="宋体" w:hAnsi="宋体" w:eastAsia="宋体" w:cs="宋体"/>
                <w:sz w:val="24"/>
                <w:szCs w:val="24"/>
              </w:rPr>
            </w:pPr>
            <w:r>
              <w:rPr>
                <w:rFonts w:hint="eastAsia" w:ascii="宋体" w:hAnsi="宋体" w:eastAsia="宋体" w:cs="宋体"/>
                <w:sz w:val="24"/>
                <w:szCs w:val="24"/>
              </w:rPr>
              <w:t>是否属于科研仪器设备采购项目：</w:t>
            </w:r>
          </w:p>
          <w:p w14:paraId="451DB785">
            <w:pPr>
              <w:spacing w:line="360" w:lineRule="auto"/>
              <w:jc w:val="left"/>
              <w:rPr>
                <w:rFonts w:hint="eastAsia" w:ascii="宋体" w:hAnsi="宋体" w:eastAsia="宋体" w:cs="宋体"/>
                <w:sz w:val="24"/>
                <w:szCs w:val="24"/>
              </w:rPr>
            </w:pPr>
            <w:r>
              <w:rPr>
                <w:rFonts w:hint="eastAsia" w:ascii="宋体" w:hAnsi="宋体" w:eastAsia="宋体" w:cs="宋体"/>
                <w:sz w:val="24"/>
                <w:szCs w:val="24"/>
              </w:rPr>
              <w:t>□是   ■否</w:t>
            </w:r>
          </w:p>
        </w:tc>
      </w:tr>
      <w:tr w14:paraId="20AA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98" w:type="dxa"/>
            <w:vAlign w:val="center"/>
          </w:tcPr>
          <w:p w14:paraId="50305565">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2.4</w:t>
            </w:r>
          </w:p>
        </w:tc>
        <w:tc>
          <w:tcPr>
            <w:tcW w:w="1372" w:type="dxa"/>
            <w:vAlign w:val="center"/>
          </w:tcPr>
          <w:p w14:paraId="4E58CB27">
            <w:pPr>
              <w:jc w:val="center"/>
              <w:rPr>
                <w:rFonts w:hint="eastAsia" w:ascii="宋体" w:hAnsi="宋体" w:eastAsia="宋体" w:cs="宋体"/>
                <w:sz w:val="24"/>
                <w:szCs w:val="24"/>
              </w:rPr>
            </w:pPr>
            <w:r>
              <w:rPr>
                <w:rFonts w:hint="eastAsia" w:ascii="宋体" w:hAnsi="宋体" w:eastAsia="宋体" w:cs="宋体"/>
                <w:sz w:val="24"/>
                <w:szCs w:val="24"/>
              </w:rPr>
              <w:t>核心产品</w:t>
            </w:r>
          </w:p>
        </w:tc>
        <w:tc>
          <w:tcPr>
            <w:tcW w:w="6749" w:type="dxa"/>
            <w:vAlign w:val="center"/>
          </w:tcPr>
          <w:p w14:paraId="2DBC03B6">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■关于核心产品本项目</w:t>
            </w:r>
            <w:r>
              <w:rPr>
                <w:rFonts w:hint="eastAsia" w:ascii="宋体" w:hAnsi="宋体" w:eastAsia="宋体" w:cs="宋体"/>
                <w:sz w:val="24"/>
                <w:szCs w:val="24"/>
                <w:u w:val="single"/>
              </w:rPr>
              <w:t xml:space="preserve"> / </w:t>
            </w:r>
            <w:r>
              <w:rPr>
                <w:rFonts w:hint="eastAsia" w:ascii="宋体" w:hAnsi="宋体" w:eastAsia="宋体" w:cs="宋体"/>
                <w:sz w:val="24"/>
                <w:szCs w:val="24"/>
              </w:rPr>
              <w:t>包不适用。</w:t>
            </w:r>
          </w:p>
          <w:p w14:paraId="61AAA539">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□本项目为单一产品采购项目。</w:t>
            </w:r>
          </w:p>
          <w:p w14:paraId="6DE07EC8">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□本项目为非单一产品采购项目，核心产品为：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tc>
      </w:tr>
      <w:tr w14:paraId="2CA1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98" w:type="dxa"/>
            <w:vMerge w:val="restart"/>
            <w:vAlign w:val="center"/>
          </w:tcPr>
          <w:p w14:paraId="1F6E88E5">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372" w:type="dxa"/>
            <w:vAlign w:val="center"/>
          </w:tcPr>
          <w:p w14:paraId="40E9EDE1">
            <w:pPr>
              <w:jc w:val="center"/>
              <w:rPr>
                <w:rFonts w:hint="eastAsia" w:ascii="宋体" w:hAnsi="宋体" w:eastAsia="宋体" w:cs="宋体"/>
                <w:sz w:val="24"/>
                <w:szCs w:val="24"/>
              </w:rPr>
            </w:pPr>
            <w:r>
              <w:rPr>
                <w:rFonts w:hint="eastAsia" w:ascii="宋体" w:hAnsi="宋体" w:eastAsia="宋体" w:cs="宋体"/>
                <w:sz w:val="24"/>
                <w:szCs w:val="24"/>
              </w:rPr>
              <w:t>现场考察</w:t>
            </w:r>
          </w:p>
        </w:tc>
        <w:tc>
          <w:tcPr>
            <w:tcW w:w="6749" w:type="dxa"/>
            <w:vAlign w:val="center"/>
          </w:tcPr>
          <w:p w14:paraId="069CC074">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■不组织</w:t>
            </w:r>
          </w:p>
          <w:p w14:paraId="7DAB1BBB">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□组织，考察时间：__年_月_日_</w:t>
            </w:r>
            <w:r>
              <w:rPr>
                <w:rFonts w:hint="eastAsia" w:ascii="宋体" w:hAnsi="宋体" w:eastAsia="宋体" w:cs="宋体"/>
                <w:bCs/>
                <w:sz w:val="24"/>
                <w:szCs w:val="24"/>
              </w:rPr>
              <w:t>点</w:t>
            </w:r>
            <w:r>
              <w:rPr>
                <w:rFonts w:hint="eastAsia" w:ascii="宋体" w:hAnsi="宋体" w:eastAsia="宋体" w:cs="宋体"/>
                <w:sz w:val="24"/>
                <w:szCs w:val="24"/>
              </w:rPr>
              <w:t>_</w:t>
            </w:r>
            <w:r>
              <w:rPr>
                <w:rFonts w:hint="eastAsia" w:ascii="宋体" w:hAnsi="宋体" w:eastAsia="宋体" w:cs="宋体"/>
                <w:bCs/>
                <w:sz w:val="24"/>
                <w:szCs w:val="24"/>
              </w:rPr>
              <w:t>分</w:t>
            </w:r>
          </w:p>
          <w:p w14:paraId="33EA7BC1">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考察地点：____________。</w:t>
            </w:r>
          </w:p>
        </w:tc>
      </w:tr>
      <w:tr w14:paraId="0391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98" w:type="dxa"/>
            <w:vMerge w:val="continue"/>
            <w:vAlign w:val="center"/>
          </w:tcPr>
          <w:p w14:paraId="4E8F14C6">
            <w:pPr>
              <w:pStyle w:val="26"/>
              <w:adjustRightInd w:val="0"/>
              <w:snapToGrid w:val="0"/>
              <w:jc w:val="center"/>
              <w:rPr>
                <w:rFonts w:hint="eastAsia" w:ascii="宋体" w:hAnsi="宋体" w:eastAsia="宋体" w:cs="宋体"/>
                <w:sz w:val="24"/>
                <w:szCs w:val="24"/>
              </w:rPr>
            </w:pPr>
          </w:p>
        </w:tc>
        <w:tc>
          <w:tcPr>
            <w:tcW w:w="1372" w:type="dxa"/>
            <w:vAlign w:val="center"/>
          </w:tcPr>
          <w:p w14:paraId="5A220BB7">
            <w:pPr>
              <w:jc w:val="center"/>
              <w:rPr>
                <w:rFonts w:hint="eastAsia" w:ascii="宋体" w:hAnsi="宋体" w:eastAsia="宋体" w:cs="宋体"/>
                <w:sz w:val="24"/>
                <w:szCs w:val="24"/>
              </w:rPr>
            </w:pPr>
            <w:r>
              <w:rPr>
                <w:rFonts w:hint="eastAsia" w:ascii="宋体" w:hAnsi="宋体" w:eastAsia="宋体" w:cs="宋体"/>
                <w:sz w:val="24"/>
                <w:szCs w:val="24"/>
              </w:rPr>
              <w:t>开标前答疑会</w:t>
            </w:r>
          </w:p>
        </w:tc>
        <w:tc>
          <w:tcPr>
            <w:tcW w:w="6749" w:type="dxa"/>
            <w:vAlign w:val="center"/>
          </w:tcPr>
          <w:p w14:paraId="5A7F0153">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■不召开</w:t>
            </w:r>
          </w:p>
          <w:p w14:paraId="0A686C06">
            <w:pPr>
              <w:spacing w:line="360" w:lineRule="auto"/>
              <w:jc w:val="left"/>
              <w:rPr>
                <w:rFonts w:hint="eastAsia" w:ascii="宋体" w:hAnsi="宋体" w:eastAsia="宋体" w:cs="宋体"/>
                <w:sz w:val="24"/>
                <w:szCs w:val="24"/>
              </w:rPr>
            </w:pPr>
            <w:r>
              <w:rPr>
                <w:rFonts w:hint="eastAsia" w:ascii="宋体" w:hAnsi="宋体" w:eastAsia="宋体" w:cs="宋体"/>
                <w:sz w:val="24"/>
                <w:szCs w:val="24"/>
              </w:rPr>
              <w:t>□召开，召开时间：__年_月_日_</w:t>
            </w:r>
            <w:r>
              <w:rPr>
                <w:rFonts w:hint="eastAsia" w:ascii="宋体" w:hAnsi="宋体" w:eastAsia="宋体" w:cs="宋体"/>
                <w:bCs/>
                <w:sz w:val="24"/>
                <w:szCs w:val="24"/>
              </w:rPr>
              <w:t>点</w:t>
            </w:r>
            <w:r>
              <w:rPr>
                <w:rFonts w:hint="eastAsia" w:ascii="宋体" w:hAnsi="宋体" w:eastAsia="宋体" w:cs="宋体"/>
                <w:sz w:val="24"/>
                <w:szCs w:val="24"/>
              </w:rPr>
              <w:t>_</w:t>
            </w:r>
            <w:r>
              <w:rPr>
                <w:rFonts w:hint="eastAsia" w:ascii="宋体" w:hAnsi="宋体" w:eastAsia="宋体" w:cs="宋体"/>
                <w:bCs/>
                <w:sz w:val="24"/>
                <w:szCs w:val="24"/>
              </w:rPr>
              <w:t>分</w:t>
            </w:r>
          </w:p>
          <w:p w14:paraId="4AD8630B">
            <w:pPr>
              <w:spacing w:line="360" w:lineRule="auto"/>
              <w:jc w:val="left"/>
              <w:rPr>
                <w:rFonts w:hint="eastAsia" w:ascii="宋体" w:hAnsi="宋体" w:eastAsia="宋体" w:cs="宋体"/>
                <w:sz w:val="24"/>
                <w:szCs w:val="24"/>
              </w:rPr>
            </w:pPr>
            <w:r>
              <w:rPr>
                <w:rFonts w:hint="eastAsia" w:ascii="宋体" w:hAnsi="宋体" w:eastAsia="宋体" w:cs="宋体"/>
                <w:sz w:val="24"/>
                <w:szCs w:val="24"/>
              </w:rPr>
              <w:t>召开地点：____________。</w:t>
            </w:r>
          </w:p>
        </w:tc>
      </w:tr>
      <w:tr w14:paraId="777D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Align w:val="center"/>
          </w:tcPr>
          <w:p w14:paraId="4277A368">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1372" w:type="dxa"/>
            <w:vAlign w:val="center"/>
          </w:tcPr>
          <w:p w14:paraId="2AACB4E0">
            <w:pPr>
              <w:jc w:val="center"/>
              <w:rPr>
                <w:rFonts w:hint="eastAsia" w:ascii="宋体" w:hAnsi="宋体" w:eastAsia="宋体" w:cs="宋体"/>
                <w:sz w:val="24"/>
                <w:szCs w:val="24"/>
              </w:rPr>
            </w:pPr>
            <w:r>
              <w:rPr>
                <w:rFonts w:hint="eastAsia" w:ascii="宋体" w:hAnsi="宋体" w:eastAsia="宋体" w:cs="宋体"/>
                <w:sz w:val="24"/>
                <w:szCs w:val="24"/>
              </w:rPr>
              <w:t>样品</w:t>
            </w:r>
          </w:p>
        </w:tc>
        <w:tc>
          <w:tcPr>
            <w:tcW w:w="6749" w:type="dxa"/>
            <w:vAlign w:val="center"/>
          </w:tcPr>
          <w:p w14:paraId="7C31E8BA">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投标样品递交：</w:t>
            </w:r>
          </w:p>
          <w:p w14:paraId="46F2AFB7">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■不需要</w:t>
            </w:r>
          </w:p>
          <w:p w14:paraId="5E4E89E8">
            <w:pPr>
              <w:spacing w:line="360" w:lineRule="auto"/>
              <w:jc w:val="left"/>
              <w:rPr>
                <w:rFonts w:hint="eastAsia" w:ascii="宋体" w:hAnsi="宋体" w:eastAsia="宋体" w:cs="宋体"/>
                <w:sz w:val="24"/>
                <w:szCs w:val="24"/>
              </w:rPr>
            </w:pPr>
            <w:r>
              <w:rPr>
                <w:rFonts w:hint="eastAsia" w:ascii="宋体" w:hAnsi="宋体" w:eastAsia="宋体" w:cs="宋体"/>
                <w:sz w:val="24"/>
                <w:szCs w:val="24"/>
              </w:rPr>
              <w:t>□需要，具体要求如下：</w:t>
            </w:r>
          </w:p>
          <w:p w14:paraId="1F35103D">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（1）样品制作的标准和要求：_________；</w:t>
            </w:r>
          </w:p>
          <w:p w14:paraId="54A9D10F">
            <w:pPr>
              <w:spacing w:line="360" w:lineRule="auto"/>
              <w:jc w:val="left"/>
              <w:rPr>
                <w:rFonts w:hint="eastAsia" w:ascii="宋体" w:hAnsi="宋体" w:eastAsia="宋体" w:cs="宋体"/>
                <w:sz w:val="24"/>
                <w:szCs w:val="24"/>
              </w:rPr>
            </w:pPr>
            <w:r>
              <w:rPr>
                <w:rFonts w:hint="eastAsia" w:ascii="宋体" w:hAnsi="宋体" w:eastAsia="宋体" w:cs="宋体"/>
                <w:sz w:val="24"/>
                <w:szCs w:val="24"/>
              </w:rPr>
              <w:t>（2）是否需要随样品提交相关检测报告：</w:t>
            </w:r>
          </w:p>
          <w:p w14:paraId="0551A75E">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□不需要     □需要</w:t>
            </w:r>
          </w:p>
          <w:p w14:paraId="456C0A8E">
            <w:pPr>
              <w:spacing w:line="360" w:lineRule="auto"/>
              <w:jc w:val="left"/>
              <w:rPr>
                <w:rFonts w:hint="eastAsia" w:ascii="宋体" w:hAnsi="宋体" w:eastAsia="宋体" w:cs="宋体"/>
                <w:sz w:val="24"/>
                <w:szCs w:val="24"/>
              </w:rPr>
            </w:pPr>
            <w:r>
              <w:rPr>
                <w:rFonts w:hint="eastAsia" w:ascii="宋体" w:hAnsi="宋体" w:eastAsia="宋体" w:cs="宋体"/>
                <w:sz w:val="24"/>
                <w:szCs w:val="24"/>
              </w:rPr>
              <w:t>（3）样品递交要求：_________；</w:t>
            </w:r>
          </w:p>
          <w:p w14:paraId="50B6BE19">
            <w:pPr>
              <w:spacing w:line="360" w:lineRule="auto"/>
              <w:jc w:val="left"/>
              <w:rPr>
                <w:rFonts w:hint="eastAsia" w:ascii="宋体" w:hAnsi="宋体" w:eastAsia="宋体" w:cs="宋体"/>
                <w:sz w:val="24"/>
                <w:szCs w:val="24"/>
              </w:rPr>
            </w:pPr>
            <w:r>
              <w:rPr>
                <w:rFonts w:hint="eastAsia" w:ascii="宋体" w:hAnsi="宋体" w:eastAsia="宋体" w:cs="宋体"/>
                <w:sz w:val="24"/>
                <w:szCs w:val="24"/>
              </w:rPr>
              <w:t>（4）未中选人样品退还：_________；</w:t>
            </w:r>
          </w:p>
          <w:p w14:paraId="626778A6">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（5）中选人样品保管、封存及退还：_________；</w:t>
            </w:r>
          </w:p>
          <w:p w14:paraId="432FF78B">
            <w:pPr>
              <w:spacing w:line="360" w:lineRule="auto"/>
              <w:jc w:val="left"/>
              <w:rPr>
                <w:rFonts w:hint="eastAsia" w:ascii="宋体" w:hAnsi="宋体" w:eastAsia="宋体" w:cs="宋体"/>
                <w:sz w:val="24"/>
                <w:szCs w:val="24"/>
              </w:rPr>
            </w:pPr>
            <w:r>
              <w:rPr>
                <w:rFonts w:hint="eastAsia" w:ascii="宋体" w:hAnsi="宋体" w:eastAsia="宋体" w:cs="宋体"/>
                <w:sz w:val="24"/>
                <w:szCs w:val="24"/>
              </w:rPr>
              <w:t>（6）其他要求（如有）：_________。</w:t>
            </w:r>
          </w:p>
        </w:tc>
      </w:tr>
      <w:tr w14:paraId="0026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898" w:type="dxa"/>
            <w:vAlign w:val="center"/>
          </w:tcPr>
          <w:p w14:paraId="743123F1">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5.2.5</w:t>
            </w:r>
          </w:p>
        </w:tc>
        <w:tc>
          <w:tcPr>
            <w:tcW w:w="1372" w:type="dxa"/>
            <w:vAlign w:val="center"/>
          </w:tcPr>
          <w:p w14:paraId="3046528F">
            <w:pPr>
              <w:jc w:val="center"/>
              <w:rPr>
                <w:rFonts w:hint="eastAsia" w:ascii="宋体" w:hAnsi="宋体" w:eastAsia="宋体" w:cs="宋体"/>
                <w:sz w:val="24"/>
                <w:szCs w:val="24"/>
              </w:rPr>
            </w:pPr>
            <w:r>
              <w:rPr>
                <w:rFonts w:hint="eastAsia" w:ascii="宋体" w:hAnsi="宋体" w:eastAsia="宋体" w:cs="宋体"/>
                <w:sz w:val="24"/>
                <w:szCs w:val="24"/>
              </w:rPr>
              <w:t>标的所属行业</w:t>
            </w:r>
          </w:p>
        </w:tc>
        <w:tc>
          <w:tcPr>
            <w:tcW w:w="6749" w:type="dxa"/>
            <w:vAlign w:val="center"/>
          </w:tcPr>
          <w:p w14:paraId="3CCE4200">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本项目采购标的对应的中小企业划分标准所属行业：</w:t>
            </w:r>
          </w:p>
          <w:tbl>
            <w:tblPr>
              <w:tblStyle w:val="51"/>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4"/>
              <w:gridCol w:w="2863"/>
            </w:tblGrid>
            <w:tr w14:paraId="68A3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54" w:type="pct"/>
                  <w:tcBorders>
                    <w:top w:val="single" w:color="auto" w:sz="4" w:space="0"/>
                    <w:left w:val="single" w:color="auto" w:sz="4" w:space="0"/>
                    <w:bottom w:val="single" w:color="auto" w:sz="4" w:space="0"/>
                    <w:right w:val="single" w:color="auto" w:sz="4" w:space="0"/>
                  </w:tcBorders>
                  <w:vAlign w:val="center"/>
                </w:tcPr>
                <w:p w14:paraId="08D681F4">
                  <w:pPr>
                    <w:jc w:val="center"/>
                    <w:rPr>
                      <w:rFonts w:hint="eastAsia" w:ascii="宋体" w:hAnsi="宋体" w:eastAsia="宋体" w:cs="宋体"/>
                      <w:bCs/>
                      <w:sz w:val="24"/>
                      <w:szCs w:val="24"/>
                    </w:rPr>
                  </w:pPr>
                  <w:r>
                    <w:rPr>
                      <w:rFonts w:hint="eastAsia" w:ascii="宋体" w:hAnsi="宋体" w:eastAsia="宋体" w:cs="宋体"/>
                      <w:bCs/>
                      <w:sz w:val="24"/>
                      <w:szCs w:val="24"/>
                    </w:rPr>
                    <w:t>标的名称</w:t>
                  </w:r>
                </w:p>
              </w:tc>
              <w:tc>
                <w:tcPr>
                  <w:tcW w:w="2245" w:type="pct"/>
                  <w:tcBorders>
                    <w:top w:val="single" w:color="auto" w:sz="4" w:space="0"/>
                    <w:left w:val="single" w:color="auto" w:sz="4" w:space="0"/>
                    <w:bottom w:val="single" w:color="auto" w:sz="4" w:space="0"/>
                    <w:right w:val="single" w:color="auto" w:sz="4" w:space="0"/>
                  </w:tcBorders>
                  <w:vAlign w:val="center"/>
                </w:tcPr>
                <w:p w14:paraId="5AC7B3EA">
                  <w:pPr>
                    <w:jc w:val="center"/>
                    <w:rPr>
                      <w:rFonts w:hint="eastAsia" w:ascii="宋体" w:hAnsi="宋体" w:eastAsia="宋体" w:cs="宋体"/>
                      <w:sz w:val="24"/>
                      <w:szCs w:val="24"/>
                    </w:rPr>
                  </w:pPr>
                  <w:r>
                    <w:rPr>
                      <w:rFonts w:hint="eastAsia" w:ascii="宋体" w:hAnsi="宋体" w:eastAsia="宋体" w:cs="宋体"/>
                      <w:sz w:val="24"/>
                      <w:szCs w:val="24"/>
                    </w:rPr>
                    <w:t>中小企业划分标准所属行业</w:t>
                  </w:r>
                </w:p>
              </w:tc>
            </w:tr>
            <w:tr w14:paraId="5796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54" w:type="pct"/>
                  <w:tcBorders>
                    <w:top w:val="single" w:color="auto" w:sz="4" w:space="0"/>
                    <w:left w:val="single" w:color="auto" w:sz="4" w:space="0"/>
                    <w:bottom w:val="single" w:color="auto" w:sz="4" w:space="0"/>
                    <w:right w:val="single" w:color="auto" w:sz="4" w:space="0"/>
                  </w:tcBorders>
                  <w:vAlign w:val="center"/>
                </w:tcPr>
                <w:p w14:paraId="6D36978F">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2025年环卫中心基建维修项目结算审计</w:t>
                  </w:r>
                </w:p>
              </w:tc>
              <w:tc>
                <w:tcPr>
                  <w:tcW w:w="2245" w:type="pct"/>
                  <w:tcBorders>
                    <w:top w:val="single" w:color="auto" w:sz="4" w:space="0"/>
                    <w:left w:val="single" w:color="auto" w:sz="4" w:space="0"/>
                    <w:bottom w:val="single" w:color="auto" w:sz="4" w:space="0"/>
                    <w:right w:val="single" w:color="auto" w:sz="4" w:space="0"/>
                  </w:tcBorders>
                  <w:vAlign w:val="center"/>
                </w:tcPr>
                <w:p w14:paraId="2577C281">
                  <w:pPr>
                    <w:jc w:val="center"/>
                    <w:rPr>
                      <w:rFonts w:hint="eastAsia" w:ascii="宋体" w:hAnsi="宋体" w:eastAsia="宋体" w:cs="宋体"/>
                      <w:kern w:val="0"/>
                      <w:sz w:val="24"/>
                      <w:szCs w:val="24"/>
                    </w:rPr>
                  </w:pPr>
                  <w:r>
                    <w:rPr>
                      <w:rFonts w:hint="eastAsia" w:ascii="宋体" w:hAnsi="宋体" w:eastAsia="宋体" w:cs="宋体"/>
                      <w:kern w:val="0"/>
                      <w:sz w:val="24"/>
                      <w:szCs w:val="24"/>
                    </w:rPr>
                    <w:t>其他未列明行业</w:t>
                  </w:r>
                </w:p>
              </w:tc>
            </w:tr>
          </w:tbl>
          <w:p w14:paraId="61124D13">
            <w:pPr>
              <w:spacing w:line="360" w:lineRule="auto"/>
              <w:jc w:val="left"/>
              <w:rPr>
                <w:rFonts w:hint="eastAsia" w:ascii="宋体" w:hAnsi="宋体" w:eastAsia="宋体" w:cs="宋体"/>
                <w:sz w:val="24"/>
                <w:szCs w:val="24"/>
              </w:rPr>
            </w:pPr>
          </w:p>
        </w:tc>
      </w:tr>
      <w:tr w14:paraId="3533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8" w:type="dxa"/>
            <w:vAlign w:val="center"/>
          </w:tcPr>
          <w:p w14:paraId="26F650A8">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11.2</w:t>
            </w:r>
          </w:p>
        </w:tc>
        <w:tc>
          <w:tcPr>
            <w:tcW w:w="1372" w:type="dxa"/>
            <w:vAlign w:val="center"/>
          </w:tcPr>
          <w:p w14:paraId="542FF45F">
            <w:pPr>
              <w:jc w:val="center"/>
              <w:rPr>
                <w:rFonts w:hint="eastAsia" w:ascii="宋体" w:hAnsi="宋体" w:eastAsia="宋体" w:cs="宋体"/>
                <w:sz w:val="24"/>
                <w:szCs w:val="24"/>
              </w:rPr>
            </w:pPr>
            <w:r>
              <w:rPr>
                <w:rFonts w:hint="eastAsia" w:ascii="宋体" w:hAnsi="宋体" w:eastAsia="宋体" w:cs="宋体"/>
                <w:sz w:val="24"/>
                <w:szCs w:val="24"/>
              </w:rPr>
              <w:t>比选报价</w:t>
            </w:r>
          </w:p>
        </w:tc>
        <w:tc>
          <w:tcPr>
            <w:tcW w:w="6749" w:type="dxa"/>
            <w:vAlign w:val="center"/>
          </w:tcPr>
          <w:p w14:paraId="4FE5EC44">
            <w:pPr>
              <w:jc w:val="left"/>
              <w:rPr>
                <w:rFonts w:hint="eastAsia" w:ascii="宋体" w:hAnsi="宋体" w:eastAsia="宋体" w:cs="宋体"/>
                <w:sz w:val="24"/>
                <w:szCs w:val="24"/>
              </w:rPr>
            </w:pPr>
            <w:r>
              <w:rPr>
                <w:rFonts w:hint="eastAsia" w:ascii="宋体" w:hAnsi="宋体" w:eastAsia="宋体" w:cs="宋体"/>
                <w:sz w:val="24"/>
                <w:szCs w:val="24"/>
              </w:rPr>
              <w:t>比选报价的特殊规定：</w:t>
            </w:r>
          </w:p>
          <w:p w14:paraId="69443524">
            <w:pPr>
              <w:jc w:val="left"/>
              <w:rPr>
                <w:rFonts w:hint="eastAsia" w:ascii="宋体" w:hAnsi="宋体" w:eastAsia="宋体" w:cs="宋体"/>
                <w:sz w:val="24"/>
                <w:szCs w:val="24"/>
              </w:rPr>
            </w:pPr>
            <w:r>
              <w:rPr>
                <w:rFonts w:hint="eastAsia" w:ascii="宋体" w:hAnsi="宋体" w:eastAsia="宋体" w:cs="宋体"/>
                <w:sz w:val="24"/>
                <w:szCs w:val="24"/>
              </w:rPr>
              <w:t>■无        □有，具体情形：_____。</w:t>
            </w:r>
          </w:p>
        </w:tc>
      </w:tr>
      <w:tr w14:paraId="2F8D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898" w:type="dxa"/>
            <w:vAlign w:val="center"/>
          </w:tcPr>
          <w:p w14:paraId="410220A4">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12.1</w:t>
            </w:r>
          </w:p>
        </w:tc>
        <w:tc>
          <w:tcPr>
            <w:tcW w:w="1372" w:type="dxa"/>
            <w:vMerge w:val="restart"/>
            <w:vAlign w:val="center"/>
          </w:tcPr>
          <w:p w14:paraId="5B21D5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比选保证金</w:t>
            </w:r>
          </w:p>
          <w:p w14:paraId="704F0EA4">
            <w:pPr>
              <w:jc w:val="center"/>
              <w:rPr>
                <w:rFonts w:hint="eastAsia" w:ascii="宋体" w:hAnsi="宋体" w:eastAsia="宋体" w:cs="宋体"/>
                <w:sz w:val="24"/>
                <w:szCs w:val="24"/>
                <w:highlight w:val="none"/>
                <w:lang w:eastAsia="zh-CN"/>
              </w:rPr>
            </w:pPr>
          </w:p>
        </w:tc>
        <w:tc>
          <w:tcPr>
            <w:tcW w:w="6749" w:type="dxa"/>
            <w:vAlign w:val="center"/>
          </w:tcPr>
          <w:p w14:paraId="5EF6B037">
            <w:pPr>
              <w:pStyle w:val="26"/>
              <w:adjustRightInd w:val="0"/>
              <w:snapToGrid w:val="0"/>
              <w:spacing w:line="360" w:lineRule="auto"/>
              <w:rPr>
                <w:rFonts w:hint="eastAsia" w:ascii="宋体" w:hAnsi="宋体" w:eastAsia="宋体" w:cs="宋体"/>
                <w:b/>
                <w:bCs/>
                <w:i/>
                <w:iCs/>
                <w:sz w:val="24"/>
                <w:szCs w:val="24"/>
                <w:highlight w:val="none"/>
                <w:lang w:val="en-US" w:eastAsia="zh-CN"/>
              </w:rPr>
            </w:pPr>
            <w:r>
              <w:rPr>
                <w:rFonts w:hint="eastAsia" w:ascii="宋体" w:hAnsi="宋体" w:eastAsia="宋体" w:cs="宋体"/>
                <w:b/>
                <w:bCs/>
                <w:i/>
                <w:iCs/>
                <w:sz w:val="24"/>
                <w:szCs w:val="24"/>
                <w:highlight w:val="none"/>
                <w:lang w:val="en-US" w:eastAsia="zh-CN"/>
              </w:rPr>
              <w:t>本项目不涉及</w:t>
            </w:r>
          </w:p>
          <w:p w14:paraId="2346818A">
            <w:pPr>
              <w:pStyle w:val="26"/>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比选保证金金额：</w:t>
            </w:r>
            <w:r>
              <w:rPr>
                <w:rFonts w:hint="eastAsia" w:ascii="宋体" w:hAnsi="宋体" w:eastAsia="宋体" w:cs="宋体"/>
                <w:sz w:val="24"/>
                <w:szCs w:val="24"/>
                <w:highlight w:val="none"/>
                <w:u w:val="single"/>
              </w:rPr>
              <w:t xml:space="preserve"> 人民币 </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元 。</w:t>
            </w:r>
          </w:p>
          <w:p w14:paraId="66AB7889">
            <w:pPr>
              <w:pStyle w:val="26"/>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比选保证金收受人信息：</w:t>
            </w:r>
          </w:p>
          <w:p w14:paraId="5CAC06BA">
            <w:pPr>
              <w:pStyle w:val="26"/>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账户名称：北京国信致诚工程管理有限责任公司</w:t>
            </w:r>
          </w:p>
          <w:p w14:paraId="3FAE2AAD">
            <w:pPr>
              <w:pStyle w:val="26"/>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开户银行：中国建设银行股份有限公司北京中关村分行</w:t>
            </w:r>
          </w:p>
          <w:p w14:paraId="6CA1641E">
            <w:pPr>
              <w:pStyle w:val="26"/>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号：11050163360000001989</w:t>
            </w:r>
          </w:p>
          <w:p w14:paraId="16DA412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便于代理机构及时准确地核实参选人的保证金是否到账，参选人应在电汇汇款或者转账时注明：项目名称简称、项目编号/包号和用途等关键信息，如“*** 比选保证金”。</w:t>
            </w:r>
          </w:p>
        </w:tc>
      </w:tr>
      <w:tr w14:paraId="535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898" w:type="dxa"/>
            <w:vAlign w:val="center"/>
          </w:tcPr>
          <w:p w14:paraId="27271768">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12.7.2</w:t>
            </w:r>
          </w:p>
        </w:tc>
        <w:tc>
          <w:tcPr>
            <w:tcW w:w="1372" w:type="dxa"/>
            <w:vMerge w:val="continue"/>
            <w:vAlign w:val="center"/>
          </w:tcPr>
          <w:p w14:paraId="5842E25E">
            <w:pPr>
              <w:jc w:val="center"/>
              <w:rPr>
                <w:rFonts w:hint="eastAsia" w:ascii="宋体" w:hAnsi="宋体" w:eastAsia="宋体" w:cs="宋体"/>
                <w:sz w:val="24"/>
                <w:szCs w:val="24"/>
              </w:rPr>
            </w:pPr>
          </w:p>
        </w:tc>
        <w:tc>
          <w:tcPr>
            <w:tcW w:w="6749" w:type="dxa"/>
            <w:vAlign w:val="center"/>
          </w:tcPr>
          <w:p w14:paraId="5A0C6049">
            <w:pPr>
              <w:spacing w:line="360" w:lineRule="auto"/>
              <w:jc w:val="left"/>
              <w:rPr>
                <w:rFonts w:hint="eastAsia" w:ascii="宋体" w:hAnsi="宋体" w:eastAsia="宋体" w:cs="宋体"/>
                <w:sz w:val="24"/>
                <w:szCs w:val="24"/>
              </w:rPr>
            </w:pPr>
            <w:r>
              <w:rPr>
                <w:rFonts w:hint="eastAsia" w:ascii="宋体" w:hAnsi="宋体" w:eastAsia="宋体" w:cs="宋体"/>
                <w:sz w:val="24"/>
                <w:szCs w:val="24"/>
              </w:rPr>
              <w:t>比选保证金可以不予退还的其他情形：</w:t>
            </w:r>
          </w:p>
          <w:p w14:paraId="1318D438">
            <w:pPr>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3199AC9D">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■有，具体情形：</w:t>
            </w:r>
          </w:p>
          <w:p w14:paraId="58576113">
            <w:pPr>
              <w:spacing w:line="360" w:lineRule="auto"/>
              <w:jc w:val="left"/>
              <w:rPr>
                <w:rFonts w:hint="eastAsia" w:ascii="宋体" w:hAnsi="宋体" w:eastAsia="宋体" w:cs="宋体"/>
                <w:sz w:val="24"/>
                <w:szCs w:val="24"/>
              </w:rPr>
            </w:pPr>
            <w:r>
              <w:rPr>
                <w:rFonts w:hint="eastAsia" w:ascii="宋体" w:hAnsi="宋体" w:eastAsia="宋体" w:cs="宋体"/>
                <w:sz w:val="24"/>
                <w:szCs w:val="24"/>
              </w:rPr>
              <w:t>（1）自投标截止时间后到比选有效期满前撤回投标；或</w:t>
            </w:r>
          </w:p>
          <w:p w14:paraId="4929CD2A">
            <w:pPr>
              <w:spacing w:line="360" w:lineRule="auto"/>
              <w:jc w:val="left"/>
              <w:rPr>
                <w:rFonts w:hint="eastAsia" w:ascii="宋体" w:hAnsi="宋体" w:eastAsia="宋体" w:cs="宋体"/>
                <w:sz w:val="24"/>
                <w:szCs w:val="24"/>
              </w:rPr>
            </w:pPr>
            <w:r>
              <w:rPr>
                <w:rFonts w:hint="eastAsia" w:ascii="宋体" w:hAnsi="宋体" w:eastAsia="宋体" w:cs="宋体"/>
                <w:sz w:val="24"/>
                <w:szCs w:val="24"/>
              </w:rPr>
              <w:t>（2）参选人在响应文件中提供虚假材料的；或</w:t>
            </w:r>
          </w:p>
          <w:p w14:paraId="7A7BBBE9">
            <w:pPr>
              <w:spacing w:line="360" w:lineRule="auto"/>
              <w:jc w:val="left"/>
              <w:rPr>
                <w:rFonts w:hint="eastAsia" w:ascii="宋体" w:hAnsi="宋体" w:eastAsia="宋体" w:cs="宋体"/>
                <w:sz w:val="24"/>
                <w:szCs w:val="24"/>
              </w:rPr>
            </w:pPr>
            <w:r>
              <w:rPr>
                <w:rFonts w:hint="eastAsia" w:ascii="宋体" w:hAnsi="宋体" w:eastAsia="宋体" w:cs="宋体"/>
                <w:sz w:val="24"/>
                <w:szCs w:val="24"/>
              </w:rPr>
              <w:t>（3）参选人进行恶意串通的；或</w:t>
            </w:r>
          </w:p>
          <w:p w14:paraId="6824714B">
            <w:pPr>
              <w:spacing w:line="360" w:lineRule="auto"/>
              <w:jc w:val="left"/>
              <w:rPr>
                <w:rFonts w:hint="eastAsia" w:ascii="宋体" w:hAnsi="宋体" w:eastAsia="宋体" w:cs="宋体"/>
                <w:sz w:val="24"/>
                <w:szCs w:val="24"/>
              </w:rPr>
            </w:pPr>
            <w:r>
              <w:rPr>
                <w:rFonts w:hint="eastAsia" w:ascii="宋体" w:hAnsi="宋体" w:eastAsia="宋体" w:cs="宋体"/>
                <w:sz w:val="24"/>
                <w:szCs w:val="24"/>
              </w:rPr>
              <w:t>（4）在收到中选通知后30天内无正当理由未按比选文件、响应文件及有关澄清函的规定与采购人签订合同；或</w:t>
            </w:r>
          </w:p>
          <w:p w14:paraId="055B0647">
            <w:pPr>
              <w:spacing w:line="360" w:lineRule="auto"/>
              <w:jc w:val="left"/>
              <w:rPr>
                <w:rFonts w:hint="eastAsia" w:ascii="宋体" w:hAnsi="宋体" w:eastAsia="宋体" w:cs="宋体"/>
                <w:sz w:val="24"/>
                <w:szCs w:val="24"/>
              </w:rPr>
            </w:pPr>
            <w:r>
              <w:rPr>
                <w:rFonts w:hint="eastAsia" w:ascii="宋体" w:hAnsi="宋体" w:eastAsia="宋体" w:cs="宋体"/>
                <w:sz w:val="24"/>
                <w:szCs w:val="24"/>
              </w:rPr>
              <w:t>（5）中选人未按照比选文件规定提交履约保证金（如需要）；或</w:t>
            </w:r>
          </w:p>
          <w:p w14:paraId="185439E8">
            <w:pPr>
              <w:spacing w:line="360" w:lineRule="auto"/>
              <w:jc w:val="left"/>
              <w:rPr>
                <w:rFonts w:hint="eastAsia" w:ascii="宋体" w:hAnsi="宋体" w:eastAsia="宋体" w:cs="宋体"/>
                <w:sz w:val="24"/>
                <w:szCs w:val="24"/>
              </w:rPr>
            </w:pPr>
            <w:r>
              <w:rPr>
                <w:rFonts w:hint="eastAsia" w:ascii="宋体" w:hAnsi="宋体" w:eastAsia="宋体" w:cs="宋体"/>
                <w:sz w:val="24"/>
                <w:szCs w:val="24"/>
              </w:rPr>
              <w:t>（6）中选人未按照比选文件规定交纳比选代理服务费；或</w:t>
            </w:r>
          </w:p>
          <w:p w14:paraId="55B69431">
            <w:pPr>
              <w:spacing w:line="360" w:lineRule="auto"/>
              <w:jc w:val="left"/>
              <w:rPr>
                <w:rFonts w:hint="eastAsia" w:ascii="宋体" w:hAnsi="宋体" w:eastAsia="宋体" w:cs="宋体"/>
                <w:sz w:val="24"/>
                <w:szCs w:val="24"/>
              </w:rPr>
            </w:pPr>
            <w:r>
              <w:rPr>
                <w:rFonts w:hint="eastAsia" w:ascii="宋体" w:hAnsi="宋体" w:eastAsia="宋体" w:cs="宋体"/>
                <w:sz w:val="24"/>
                <w:szCs w:val="24"/>
              </w:rPr>
              <w:t>（7）比选文件规定的其他情形。</w:t>
            </w:r>
          </w:p>
        </w:tc>
      </w:tr>
      <w:tr w14:paraId="5066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8" w:type="dxa"/>
            <w:vAlign w:val="center"/>
          </w:tcPr>
          <w:p w14:paraId="3CC32846">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372" w:type="dxa"/>
            <w:vAlign w:val="center"/>
          </w:tcPr>
          <w:p w14:paraId="5EB42DEB">
            <w:pPr>
              <w:jc w:val="center"/>
              <w:rPr>
                <w:rFonts w:hint="eastAsia" w:ascii="宋体" w:hAnsi="宋体" w:eastAsia="宋体" w:cs="宋体"/>
                <w:sz w:val="24"/>
                <w:szCs w:val="24"/>
              </w:rPr>
            </w:pPr>
            <w:r>
              <w:rPr>
                <w:rFonts w:hint="eastAsia" w:ascii="宋体" w:hAnsi="宋体" w:eastAsia="宋体" w:cs="宋体"/>
                <w:sz w:val="24"/>
                <w:szCs w:val="24"/>
              </w:rPr>
              <w:t>比选有效期</w:t>
            </w:r>
          </w:p>
        </w:tc>
        <w:tc>
          <w:tcPr>
            <w:tcW w:w="6749" w:type="dxa"/>
            <w:vAlign w:val="center"/>
          </w:tcPr>
          <w:p w14:paraId="6A83D2AF">
            <w:pPr>
              <w:jc w:val="left"/>
              <w:rPr>
                <w:rFonts w:hint="eastAsia" w:ascii="宋体" w:hAnsi="宋体" w:eastAsia="宋体" w:cs="宋体"/>
                <w:sz w:val="24"/>
                <w:szCs w:val="24"/>
              </w:rPr>
            </w:pPr>
            <w:r>
              <w:rPr>
                <w:rFonts w:hint="eastAsia" w:ascii="宋体" w:hAnsi="宋体" w:eastAsia="宋体" w:cs="宋体"/>
                <w:sz w:val="24"/>
                <w:szCs w:val="24"/>
              </w:rPr>
              <w:t>自提交响应文件的截止之日起算</w:t>
            </w:r>
            <w:r>
              <w:rPr>
                <w:rFonts w:hint="eastAsia" w:ascii="宋体" w:hAnsi="宋体" w:eastAsia="宋体" w:cs="宋体"/>
                <w:sz w:val="24"/>
                <w:szCs w:val="24"/>
                <w:u w:val="single"/>
              </w:rPr>
              <w:t xml:space="preserve"> 90 </w:t>
            </w:r>
            <w:r>
              <w:rPr>
                <w:rFonts w:hint="eastAsia" w:ascii="宋体" w:hAnsi="宋体" w:eastAsia="宋体" w:cs="宋体"/>
                <w:sz w:val="24"/>
                <w:szCs w:val="24"/>
              </w:rPr>
              <w:t>日历天。</w:t>
            </w:r>
          </w:p>
        </w:tc>
      </w:tr>
      <w:tr w14:paraId="538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898" w:type="dxa"/>
            <w:vAlign w:val="center"/>
          </w:tcPr>
          <w:p w14:paraId="218452F1">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14.2.5</w:t>
            </w:r>
          </w:p>
        </w:tc>
        <w:tc>
          <w:tcPr>
            <w:tcW w:w="1372" w:type="dxa"/>
            <w:vAlign w:val="center"/>
          </w:tcPr>
          <w:p w14:paraId="7E5AADA7">
            <w:pPr>
              <w:jc w:val="center"/>
              <w:rPr>
                <w:rFonts w:hint="eastAsia" w:ascii="宋体" w:hAnsi="宋体" w:eastAsia="宋体" w:cs="宋体"/>
                <w:sz w:val="24"/>
                <w:szCs w:val="24"/>
              </w:rPr>
            </w:pPr>
            <w:r>
              <w:rPr>
                <w:rFonts w:hint="eastAsia" w:ascii="宋体" w:hAnsi="宋体" w:eastAsia="宋体" w:cs="宋体"/>
                <w:sz w:val="24"/>
                <w:szCs w:val="24"/>
              </w:rPr>
              <w:t>响应文件的份数及说明</w:t>
            </w:r>
          </w:p>
        </w:tc>
        <w:tc>
          <w:tcPr>
            <w:tcW w:w="6749" w:type="dxa"/>
            <w:vAlign w:val="center"/>
          </w:tcPr>
          <w:p w14:paraId="3B267B6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每包响应文件的份数：正本1份，副本2份，电子版1份（U盘）。</w:t>
            </w:r>
          </w:p>
          <w:p w14:paraId="3A9C7012">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正本副本应均为双面打印。</w:t>
            </w:r>
          </w:p>
          <w:p w14:paraId="6BB5538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电子版为递交的纸质响应文件正本的彩色扫描件（一个PDF文件），电子版应与响应文件正本内容完全一致，包括封面、盖章、签字等内容。且须确保所递交的电子版文件能够复制粘贴及打开阅读。</w:t>
            </w:r>
          </w:p>
        </w:tc>
      </w:tr>
      <w:tr w14:paraId="1789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8" w:type="dxa"/>
            <w:vAlign w:val="center"/>
          </w:tcPr>
          <w:p w14:paraId="451C3B94">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18.2.4</w:t>
            </w:r>
          </w:p>
        </w:tc>
        <w:tc>
          <w:tcPr>
            <w:tcW w:w="1372" w:type="dxa"/>
            <w:vAlign w:val="center"/>
          </w:tcPr>
          <w:p w14:paraId="10288A3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是否安排述标</w:t>
            </w:r>
          </w:p>
        </w:tc>
        <w:tc>
          <w:tcPr>
            <w:tcW w:w="6749" w:type="dxa"/>
            <w:vAlign w:val="center"/>
          </w:tcPr>
          <w:p w14:paraId="50F61A11">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□是        ■否 </w:t>
            </w:r>
          </w:p>
        </w:tc>
      </w:tr>
      <w:tr w14:paraId="63F9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Align w:val="center"/>
          </w:tcPr>
          <w:p w14:paraId="0C613386">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22.1</w:t>
            </w:r>
          </w:p>
        </w:tc>
        <w:tc>
          <w:tcPr>
            <w:tcW w:w="1372" w:type="dxa"/>
            <w:vAlign w:val="center"/>
          </w:tcPr>
          <w:p w14:paraId="202BE7F9">
            <w:pPr>
              <w:jc w:val="center"/>
              <w:rPr>
                <w:rFonts w:hint="eastAsia" w:ascii="宋体" w:hAnsi="宋体" w:eastAsia="宋体" w:cs="宋体"/>
                <w:sz w:val="24"/>
                <w:szCs w:val="24"/>
              </w:rPr>
            </w:pPr>
            <w:r>
              <w:rPr>
                <w:rFonts w:hint="eastAsia" w:ascii="宋体" w:hAnsi="宋体" w:eastAsia="宋体" w:cs="宋体"/>
                <w:sz w:val="24"/>
                <w:szCs w:val="24"/>
              </w:rPr>
              <w:t>确定中选人</w:t>
            </w:r>
          </w:p>
        </w:tc>
        <w:tc>
          <w:tcPr>
            <w:tcW w:w="6749" w:type="dxa"/>
            <w:vAlign w:val="center"/>
          </w:tcPr>
          <w:p w14:paraId="1BC4F34D">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中选候选人并列的，采购人是否委托评标委员会确定中选人：</w:t>
            </w:r>
          </w:p>
          <w:p w14:paraId="3A6843B7">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■否         □是</w:t>
            </w:r>
          </w:p>
          <w:p w14:paraId="7A172F89">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中选候选人并列的，按照以下方式确定中选人：</w:t>
            </w:r>
          </w:p>
          <w:p w14:paraId="705B160F">
            <w:pPr>
              <w:pStyle w:val="2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■比选报价最低为中选人；比选报价相同的，以评审因素的量化指标评审得分最高参选人为中选人。</w:t>
            </w:r>
          </w:p>
          <w:p w14:paraId="6ACFEF2C">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□随机抽取</w:t>
            </w:r>
          </w:p>
        </w:tc>
      </w:tr>
      <w:tr w14:paraId="6794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898" w:type="dxa"/>
            <w:vAlign w:val="center"/>
          </w:tcPr>
          <w:p w14:paraId="04BD6858">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25.5</w:t>
            </w:r>
          </w:p>
        </w:tc>
        <w:tc>
          <w:tcPr>
            <w:tcW w:w="1372" w:type="dxa"/>
            <w:vAlign w:val="center"/>
          </w:tcPr>
          <w:p w14:paraId="22DDC7CF">
            <w:pPr>
              <w:jc w:val="center"/>
              <w:rPr>
                <w:rFonts w:hint="eastAsia" w:ascii="宋体" w:hAnsi="宋体" w:eastAsia="宋体" w:cs="宋体"/>
                <w:sz w:val="24"/>
                <w:szCs w:val="24"/>
              </w:rPr>
            </w:pPr>
            <w:r>
              <w:rPr>
                <w:rFonts w:hint="eastAsia" w:ascii="宋体" w:hAnsi="宋体" w:eastAsia="宋体" w:cs="宋体"/>
                <w:sz w:val="24"/>
                <w:szCs w:val="24"/>
              </w:rPr>
              <w:t>分包</w:t>
            </w:r>
          </w:p>
        </w:tc>
        <w:tc>
          <w:tcPr>
            <w:tcW w:w="6749" w:type="dxa"/>
            <w:vAlign w:val="center"/>
          </w:tcPr>
          <w:p w14:paraId="4107A2A3">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本项目的非主体、非关键性工作是否允许分包： </w:t>
            </w:r>
          </w:p>
          <w:p w14:paraId="6A2FED4D">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■不允许</w:t>
            </w:r>
          </w:p>
          <w:p w14:paraId="76AFBAE5">
            <w:pPr>
              <w:spacing w:line="360" w:lineRule="auto"/>
              <w:jc w:val="left"/>
              <w:rPr>
                <w:rFonts w:hint="eastAsia" w:ascii="宋体" w:hAnsi="宋体" w:eastAsia="宋体" w:cs="宋体"/>
                <w:sz w:val="24"/>
                <w:szCs w:val="24"/>
              </w:rPr>
            </w:pPr>
            <w:r>
              <w:rPr>
                <w:rFonts w:hint="eastAsia" w:ascii="宋体" w:hAnsi="宋体" w:eastAsia="宋体" w:cs="宋体"/>
                <w:sz w:val="24"/>
                <w:szCs w:val="24"/>
              </w:rPr>
              <w:t>□允许，具体要求：</w:t>
            </w:r>
          </w:p>
          <w:p w14:paraId="4B729934">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（1）可以分包履行的具体内容：_____；</w:t>
            </w:r>
          </w:p>
          <w:p w14:paraId="1E0879D6">
            <w:pPr>
              <w:spacing w:line="360" w:lineRule="auto"/>
              <w:jc w:val="left"/>
              <w:rPr>
                <w:rFonts w:hint="eastAsia" w:ascii="宋体" w:hAnsi="宋体" w:eastAsia="宋体" w:cs="宋体"/>
                <w:sz w:val="24"/>
                <w:szCs w:val="24"/>
              </w:rPr>
            </w:pPr>
            <w:r>
              <w:rPr>
                <w:rFonts w:hint="eastAsia" w:ascii="宋体" w:hAnsi="宋体" w:eastAsia="宋体" w:cs="宋体"/>
                <w:sz w:val="24"/>
                <w:szCs w:val="24"/>
              </w:rPr>
              <w:t>（2）允许分包的金额或者比例：_____；</w:t>
            </w:r>
          </w:p>
          <w:p w14:paraId="7637712D">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（3）其他要求：_____。</w:t>
            </w:r>
          </w:p>
        </w:tc>
      </w:tr>
      <w:tr w14:paraId="1C9A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8" w:type="dxa"/>
            <w:vAlign w:val="center"/>
          </w:tcPr>
          <w:p w14:paraId="457EDEB0">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26.1.1</w:t>
            </w:r>
          </w:p>
        </w:tc>
        <w:tc>
          <w:tcPr>
            <w:tcW w:w="1372" w:type="dxa"/>
            <w:vAlign w:val="center"/>
          </w:tcPr>
          <w:p w14:paraId="6A1600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询问</w:t>
            </w:r>
          </w:p>
        </w:tc>
        <w:tc>
          <w:tcPr>
            <w:tcW w:w="6749" w:type="dxa"/>
            <w:vAlign w:val="center"/>
          </w:tcPr>
          <w:p w14:paraId="0E69DEA5">
            <w:pPr>
              <w:spacing w:line="360" w:lineRule="auto"/>
              <w:jc w:val="left"/>
              <w:rPr>
                <w:rFonts w:hint="eastAsia" w:ascii="宋体" w:hAnsi="宋体" w:eastAsia="宋体" w:cs="宋体"/>
                <w:sz w:val="24"/>
                <w:szCs w:val="24"/>
              </w:rPr>
            </w:pPr>
            <w:r>
              <w:rPr>
                <w:rFonts w:hint="eastAsia" w:ascii="宋体" w:hAnsi="宋体" w:eastAsia="宋体" w:cs="宋体"/>
                <w:sz w:val="24"/>
                <w:szCs w:val="24"/>
              </w:rPr>
              <w:t>询问送达形式：</w:t>
            </w:r>
            <w:r>
              <w:rPr>
                <w:rFonts w:hint="eastAsia" w:ascii="宋体" w:hAnsi="宋体" w:eastAsia="宋体" w:cs="宋体"/>
                <w:sz w:val="24"/>
                <w:szCs w:val="24"/>
                <w:u w:val="single"/>
              </w:rPr>
              <w:t>书面形式</w:t>
            </w:r>
          </w:p>
        </w:tc>
      </w:tr>
      <w:tr w14:paraId="600B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98" w:type="dxa"/>
            <w:vAlign w:val="center"/>
          </w:tcPr>
          <w:p w14:paraId="59AD2EAB">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26.3</w:t>
            </w:r>
          </w:p>
        </w:tc>
        <w:tc>
          <w:tcPr>
            <w:tcW w:w="1372" w:type="dxa"/>
            <w:vAlign w:val="center"/>
          </w:tcPr>
          <w:p w14:paraId="143B09C8">
            <w:pPr>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6749" w:type="dxa"/>
            <w:vAlign w:val="center"/>
          </w:tcPr>
          <w:p w14:paraId="47CDEDA6">
            <w:pPr>
              <w:spacing w:line="360" w:lineRule="auto"/>
              <w:jc w:val="left"/>
              <w:rPr>
                <w:rFonts w:hint="eastAsia" w:ascii="宋体" w:hAnsi="宋体" w:eastAsia="宋体" w:cs="宋体"/>
                <w:sz w:val="24"/>
                <w:szCs w:val="24"/>
              </w:rPr>
            </w:pPr>
            <w:r>
              <w:rPr>
                <w:rFonts w:hint="eastAsia" w:ascii="宋体" w:hAnsi="宋体" w:eastAsia="宋体" w:cs="宋体"/>
                <w:sz w:val="24"/>
                <w:szCs w:val="24"/>
              </w:rPr>
              <w:t>接收询问和质疑的联系方式</w:t>
            </w:r>
          </w:p>
          <w:p w14:paraId="6D539EAC">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联系部门：北京国信致诚工程管理有限责任公司；</w:t>
            </w:r>
          </w:p>
          <w:p w14:paraId="3AD27F92">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联系电话：010-58816687；</w:t>
            </w:r>
          </w:p>
          <w:p w14:paraId="670FB7C6">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通讯地址：北京市海淀区长春桥路11号C1座12A01。 </w:t>
            </w:r>
          </w:p>
        </w:tc>
      </w:tr>
      <w:tr w14:paraId="5E5F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F581E7C">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27</w:t>
            </w:r>
          </w:p>
        </w:tc>
        <w:tc>
          <w:tcPr>
            <w:tcW w:w="1372" w:type="dxa"/>
            <w:tcBorders>
              <w:top w:val="single" w:color="auto" w:sz="4" w:space="0"/>
              <w:left w:val="single" w:color="auto" w:sz="4" w:space="0"/>
              <w:bottom w:val="single" w:color="auto" w:sz="4" w:space="0"/>
              <w:right w:val="single" w:color="auto" w:sz="4" w:space="0"/>
            </w:tcBorders>
            <w:vAlign w:val="center"/>
          </w:tcPr>
          <w:p w14:paraId="59D355EF">
            <w:pPr>
              <w:jc w:val="center"/>
              <w:rPr>
                <w:rFonts w:hint="eastAsia" w:ascii="宋体" w:hAnsi="宋体" w:eastAsia="宋体" w:cs="宋体"/>
                <w:sz w:val="24"/>
                <w:szCs w:val="24"/>
              </w:rPr>
            </w:pPr>
            <w:r>
              <w:rPr>
                <w:rFonts w:hint="eastAsia" w:ascii="宋体" w:hAnsi="宋体" w:eastAsia="宋体" w:cs="宋体"/>
                <w:sz w:val="24"/>
                <w:szCs w:val="24"/>
              </w:rPr>
              <w:t>代理费</w:t>
            </w:r>
          </w:p>
        </w:tc>
        <w:tc>
          <w:tcPr>
            <w:tcW w:w="6749" w:type="dxa"/>
            <w:tcBorders>
              <w:top w:val="single" w:color="auto" w:sz="4" w:space="0"/>
              <w:left w:val="single" w:color="auto" w:sz="4" w:space="0"/>
              <w:bottom w:val="single" w:color="auto" w:sz="4" w:space="0"/>
              <w:right w:val="single" w:color="auto" w:sz="4" w:space="0"/>
            </w:tcBorders>
            <w:vAlign w:val="center"/>
          </w:tcPr>
          <w:p w14:paraId="334B10B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本项目不收取招标代理服务费。</w:t>
            </w:r>
          </w:p>
          <w:p w14:paraId="065D5DB5">
            <w:pPr>
              <w:spacing w:line="360" w:lineRule="auto"/>
              <w:jc w:val="left"/>
              <w:rPr>
                <w:rFonts w:hint="eastAsia" w:ascii="宋体" w:hAnsi="宋体" w:eastAsia="宋体" w:cs="宋体"/>
                <w:sz w:val="24"/>
                <w:szCs w:val="24"/>
              </w:rPr>
            </w:pPr>
            <w:r>
              <w:rPr>
                <w:rFonts w:hint="eastAsia" w:ascii="宋体" w:hAnsi="宋体" w:eastAsia="宋体" w:cs="宋体"/>
                <w:sz w:val="24"/>
                <w:szCs w:val="24"/>
              </w:rPr>
              <w:t>收费对象：</w:t>
            </w:r>
          </w:p>
          <w:p w14:paraId="1014C7B0">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□采购人        </w:t>
            </w:r>
            <w:r>
              <w:rPr>
                <w:rFonts w:hint="eastAsia" w:ascii="宋体" w:hAnsi="宋体" w:eastAsia="宋体" w:cs="宋体"/>
                <w:sz w:val="24"/>
                <w:szCs w:val="24"/>
                <w:lang w:eastAsia="zh-CN"/>
              </w:rPr>
              <w:t>□</w:t>
            </w:r>
            <w:r>
              <w:rPr>
                <w:rFonts w:hint="eastAsia" w:ascii="宋体" w:hAnsi="宋体" w:eastAsia="宋体" w:cs="宋体"/>
                <w:sz w:val="24"/>
                <w:szCs w:val="24"/>
              </w:rPr>
              <w:t>中选人</w:t>
            </w:r>
          </w:p>
          <w:p w14:paraId="6EB925D7">
            <w:pPr>
              <w:spacing w:line="360" w:lineRule="auto"/>
              <w:jc w:val="left"/>
              <w:rPr>
                <w:rFonts w:hint="eastAsia" w:ascii="宋体" w:hAnsi="宋体" w:eastAsia="宋体" w:cs="宋体"/>
                <w:sz w:val="24"/>
                <w:szCs w:val="24"/>
              </w:rPr>
            </w:pPr>
            <w:r>
              <w:rPr>
                <w:rFonts w:hint="eastAsia" w:ascii="宋体" w:hAnsi="宋体" w:eastAsia="宋体" w:cs="宋体"/>
                <w:sz w:val="24"/>
                <w:szCs w:val="24"/>
              </w:rPr>
              <w:t>收费标准：参照《招标代理服务收费管理暂行办法》（计价格[2002]1980号）规定标准收取。</w:t>
            </w:r>
          </w:p>
          <w:p w14:paraId="68552BB1">
            <w:pPr>
              <w:spacing w:line="360" w:lineRule="auto"/>
              <w:jc w:val="left"/>
              <w:rPr>
                <w:rFonts w:hint="eastAsia" w:ascii="宋体" w:hAnsi="宋体" w:eastAsia="宋体" w:cs="宋体"/>
                <w:sz w:val="24"/>
                <w:szCs w:val="24"/>
              </w:rPr>
            </w:pPr>
            <w:r>
              <w:rPr>
                <w:rFonts w:hint="eastAsia" w:ascii="宋体" w:hAnsi="宋体" w:eastAsia="宋体" w:cs="宋体"/>
                <w:sz w:val="24"/>
                <w:szCs w:val="24"/>
              </w:rPr>
              <w:t>缴纳时间：中选公告发出后5个工作日内。</w:t>
            </w:r>
          </w:p>
        </w:tc>
      </w:tr>
      <w:tr w14:paraId="45C1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right w:val="single" w:color="auto" w:sz="4" w:space="0"/>
            </w:tcBorders>
            <w:vAlign w:val="center"/>
          </w:tcPr>
          <w:p w14:paraId="4DFC4438">
            <w:pPr>
              <w:pStyle w:val="26"/>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28</w:t>
            </w:r>
          </w:p>
        </w:tc>
        <w:tc>
          <w:tcPr>
            <w:tcW w:w="1372" w:type="dxa"/>
            <w:tcBorders>
              <w:top w:val="single" w:color="auto" w:sz="4" w:space="0"/>
              <w:left w:val="single" w:color="auto" w:sz="4" w:space="0"/>
              <w:right w:val="single" w:color="auto" w:sz="4" w:space="0"/>
            </w:tcBorders>
            <w:vAlign w:val="center"/>
          </w:tcPr>
          <w:p w14:paraId="4C4E09DA">
            <w:pPr>
              <w:jc w:val="center"/>
              <w:rPr>
                <w:rFonts w:hint="eastAsia" w:ascii="宋体" w:hAnsi="宋体" w:eastAsia="宋体" w:cs="宋体"/>
                <w:sz w:val="24"/>
                <w:szCs w:val="24"/>
              </w:rPr>
            </w:pPr>
            <w:r>
              <w:rPr>
                <w:rFonts w:hint="eastAsia" w:ascii="宋体" w:hAnsi="宋体" w:eastAsia="宋体" w:cs="宋体"/>
                <w:sz w:val="24"/>
                <w:szCs w:val="24"/>
              </w:rPr>
              <w:t>投标方式</w:t>
            </w:r>
          </w:p>
        </w:tc>
        <w:tc>
          <w:tcPr>
            <w:tcW w:w="6749" w:type="dxa"/>
            <w:tcBorders>
              <w:top w:val="single" w:color="auto" w:sz="4" w:space="0"/>
              <w:left w:val="single" w:color="auto" w:sz="4" w:space="0"/>
              <w:bottom w:val="single" w:color="auto" w:sz="4" w:space="0"/>
              <w:right w:val="single" w:color="auto" w:sz="4" w:space="0"/>
            </w:tcBorders>
            <w:vAlign w:val="center"/>
          </w:tcPr>
          <w:p w14:paraId="599C795E">
            <w:pPr>
              <w:jc w:val="lef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纸质文件投标  </w:t>
            </w:r>
            <w:r>
              <w:rPr>
                <w:rFonts w:hint="eastAsia" w:ascii="宋体" w:hAnsi="宋体" w:eastAsia="宋体" w:cs="宋体"/>
                <w:sz w:val="24"/>
                <w:szCs w:val="24"/>
              </w:rPr>
              <w:sym w:font="Wingdings" w:char="00A8"/>
            </w:r>
            <w:r>
              <w:rPr>
                <w:rFonts w:hint="eastAsia" w:ascii="宋体" w:hAnsi="宋体" w:eastAsia="宋体" w:cs="宋体"/>
                <w:sz w:val="24"/>
                <w:szCs w:val="24"/>
              </w:rPr>
              <w:t>电子标。</w:t>
            </w:r>
          </w:p>
        </w:tc>
      </w:tr>
    </w:tbl>
    <w:p w14:paraId="2B144878">
      <w:pPr>
        <w:tabs>
          <w:tab w:val="left" w:pos="5580"/>
        </w:tabs>
        <w:adjustRightInd w:val="0"/>
        <w:spacing w:line="360" w:lineRule="auto"/>
        <w:jc w:val="distribute"/>
        <w:rPr>
          <w:sz w:val="24"/>
        </w:rPr>
        <w:sectPr>
          <w:footerReference r:id="rId8" w:type="default"/>
          <w:pgSz w:w="11907" w:h="16840"/>
          <w:pgMar w:top="1134" w:right="1418" w:bottom="1134" w:left="1418" w:header="510" w:footer="851" w:gutter="0"/>
          <w:pgNumType w:start="1"/>
          <w:cols w:space="720" w:num="1"/>
          <w:docGrid w:linePitch="462" w:charSpace="0"/>
        </w:sectPr>
      </w:pPr>
    </w:p>
    <w:p w14:paraId="78B5B918">
      <w:pPr>
        <w:pStyle w:val="3"/>
        <w:tabs>
          <w:tab w:val="center" w:pos="4592"/>
          <w:tab w:val="left" w:pos="7860"/>
        </w:tabs>
        <w:spacing w:before="0" w:line="360" w:lineRule="auto"/>
        <w:jc w:val="left"/>
        <w:rPr>
          <w:rFonts w:ascii="Times New Roman" w:hAnsi="Times New Roman" w:eastAsia="宋体"/>
          <w:sz w:val="28"/>
        </w:rPr>
      </w:pPr>
      <w:bookmarkStart w:id="72" w:name="_Toc127151518"/>
      <w:bookmarkStart w:id="73" w:name="_Toc520356143"/>
      <w:r>
        <w:rPr>
          <w:rFonts w:ascii="Times New Roman" w:hAnsi="Times New Roman" w:eastAsia="宋体"/>
          <w:sz w:val="28"/>
        </w:rPr>
        <w:tab/>
      </w:r>
      <w:bookmarkStart w:id="74" w:name="_Toc151190145"/>
      <w:bookmarkStart w:id="75" w:name="_Toc142311020"/>
      <w:bookmarkStart w:id="76" w:name="_Toc151193760"/>
      <w:bookmarkStart w:id="77" w:name="_Toc151193906"/>
      <w:bookmarkStart w:id="78" w:name="_Toc150774723"/>
      <w:bookmarkStart w:id="79" w:name="_Toc150480756"/>
      <w:bookmarkStart w:id="80" w:name="_Toc150509269"/>
      <w:bookmarkStart w:id="81" w:name="_Toc226337214"/>
      <w:bookmarkStart w:id="82" w:name="_Toc305158786"/>
      <w:bookmarkStart w:id="83" w:name="_Toc226965708"/>
      <w:bookmarkStart w:id="84" w:name="_Toc150774618"/>
      <w:bookmarkStart w:id="85" w:name="_Toc265228356"/>
      <w:bookmarkStart w:id="86" w:name="_Toc195842883"/>
      <w:bookmarkStart w:id="87" w:name="_Toc151193688"/>
      <w:bookmarkStart w:id="88" w:name="_Toc226965791"/>
      <w:bookmarkStart w:id="89" w:name="_Toc151193832"/>
      <w:bookmarkStart w:id="90" w:name="_Toc151193616"/>
      <w:bookmarkStart w:id="91" w:name="_Toc264969208"/>
      <w:bookmarkStart w:id="92" w:name="_Toc305158860"/>
      <w:bookmarkStart w:id="93" w:name="_Toc226309762"/>
      <w:r>
        <w:rPr>
          <w:rFonts w:ascii="Times New Roman" w:hAnsi="Times New Roman" w:eastAsia="宋体"/>
          <w:sz w:val="28"/>
        </w:rPr>
        <w:t>一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hAnsi="Times New Roman" w:eastAsia="宋体"/>
          <w:sz w:val="28"/>
        </w:rPr>
        <w:tab/>
      </w:r>
    </w:p>
    <w:p w14:paraId="1D348D07">
      <w:pPr>
        <w:numPr>
          <w:ilvl w:val="0"/>
          <w:numId w:val="14"/>
        </w:numPr>
        <w:tabs>
          <w:tab w:val="left" w:pos="360"/>
          <w:tab w:val="clear" w:pos="900"/>
        </w:tabs>
        <w:snapToGrid w:val="0"/>
        <w:spacing w:line="360" w:lineRule="auto"/>
        <w:ind w:left="357" w:hanging="357"/>
        <w:outlineLvl w:val="1"/>
        <w:rPr>
          <w:sz w:val="24"/>
        </w:rPr>
      </w:pPr>
      <w:bookmarkStart w:id="94" w:name="_Toc305158787"/>
      <w:bookmarkStart w:id="95" w:name="_Toc305158861"/>
      <w:bookmarkStart w:id="96" w:name="_Toc264969209"/>
      <w:bookmarkStart w:id="97" w:name="_Toc265228357"/>
      <w:r>
        <w:rPr>
          <w:sz w:val="24"/>
        </w:rPr>
        <w:t>采购人、采购代理机构、</w:t>
      </w:r>
      <w:bookmarkEnd w:id="94"/>
      <w:bookmarkEnd w:id="95"/>
      <w:bookmarkEnd w:id="96"/>
      <w:bookmarkEnd w:id="97"/>
      <w:r>
        <w:rPr>
          <w:rFonts w:hint="eastAsia"/>
          <w:sz w:val="24"/>
        </w:rPr>
        <w:t>参选人、联合体</w:t>
      </w:r>
    </w:p>
    <w:p w14:paraId="2A87F369">
      <w:pPr>
        <w:numPr>
          <w:ilvl w:val="1"/>
          <w:numId w:val="14"/>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w:t>
      </w:r>
      <w:r>
        <w:rPr>
          <w:rFonts w:hint="eastAsia"/>
          <w:sz w:val="24"/>
        </w:rPr>
        <w:t>比选邀请</w:t>
      </w:r>
      <w:r>
        <w:rPr>
          <w:sz w:val="24"/>
        </w:rPr>
        <w:t>》。</w:t>
      </w:r>
    </w:p>
    <w:p w14:paraId="16E1EBB2">
      <w:pPr>
        <w:numPr>
          <w:ilvl w:val="1"/>
          <w:numId w:val="14"/>
        </w:numPr>
        <w:tabs>
          <w:tab w:val="left" w:pos="1080"/>
          <w:tab w:val="left" w:pos="2014"/>
          <w:tab w:val="left" w:pos="5521"/>
        </w:tabs>
        <w:snapToGrid w:val="0"/>
        <w:spacing w:line="360" w:lineRule="auto"/>
        <w:ind w:left="1080" w:hanging="720"/>
        <w:rPr>
          <w:sz w:val="24"/>
        </w:rPr>
      </w:pPr>
      <w:r>
        <w:rPr>
          <w:rFonts w:hint="eastAsia"/>
          <w:sz w:val="24"/>
        </w:rPr>
        <w:t>参选人</w:t>
      </w:r>
      <w:r>
        <w:rPr>
          <w:sz w:val="24"/>
        </w:rPr>
        <w:t>（也称</w:t>
      </w:r>
      <w:r>
        <w:rPr>
          <w:rFonts w:hint="eastAsia"/>
          <w:sz w:val="24"/>
        </w:rPr>
        <w:t>“供应商”、“参选人”</w:t>
      </w:r>
      <w:r>
        <w:rPr>
          <w:sz w:val="24"/>
        </w:rPr>
        <w:t>）：指向采购人提供货物、工程或者服务的法人、其他组织或者自然人。</w:t>
      </w:r>
    </w:p>
    <w:p w14:paraId="3C69A6AC">
      <w:pPr>
        <w:numPr>
          <w:ilvl w:val="1"/>
          <w:numId w:val="14"/>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75FB6163">
      <w:pPr>
        <w:numPr>
          <w:ilvl w:val="0"/>
          <w:numId w:val="14"/>
        </w:numPr>
        <w:tabs>
          <w:tab w:val="left" w:pos="360"/>
          <w:tab w:val="clear" w:pos="900"/>
        </w:tabs>
        <w:snapToGrid w:val="0"/>
        <w:spacing w:line="360" w:lineRule="auto"/>
        <w:ind w:left="357" w:hanging="357"/>
        <w:outlineLvl w:val="1"/>
        <w:rPr>
          <w:sz w:val="24"/>
        </w:rPr>
      </w:pPr>
      <w:bookmarkStart w:id="98" w:name="_Toc226965710"/>
      <w:bookmarkStart w:id="99" w:name="_Toc151193690"/>
      <w:bookmarkStart w:id="100" w:name="_Toc164608789"/>
      <w:bookmarkStart w:id="101" w:name="_Toc164351614"/>
      <w:bookmarkStart w:id="102" w:name="_Toc164229215"/>
      <w:bookmarkStart w:id="103" w:name="_Toc164229361"/>
      <w:bookmarkStart w:id="104" w:name="_Toc150774725"/>
      <w:bookmarkStart w:id="105" w:name="_Toc127151721"/>
      <w:bookmarkStart w:id="106" w:name="_Toc305158862"/>
      <w:bookmarkStart w:id="107" w:name="_Toc151193908"/>
      <w:bookmarkStart w:id="108" w:name="_Toc226965793"/>
      <w:bookmarkStart w:id="109" w:name="_Toc164608634"/>
      <w:bookmarkStart w:id="110" w:name="_Toc264969210"/>
      <w:bookmarkStart w:id="111" w:name="_Toc149720813"/>
      <w:bookmarkStart w:id="112" w:name="_Toc150480758"/>
      <w:bookmarkStart w:id="113" w:name="_Toc226309764"/>
      <w:bookmarkStart w:id="114" w:name="_Toc151193618"/>
      <w:bookmarkStart w:id="115" w:name="_Toc151193762"/>
      <w:bookmarkStart w:id="116" w:name="_Toc151193834"/>
      <w:bookmarkStart w:id="117" w:name="_Toc226337216"/>
      <w:bookmarkStart w:id="118" w:name="_Toc305158788"/>
      <w:bookmarkStart w:id="119" w:name="_Toc195842885"/>
      <w:bookmarkStart w:id="120" w:name="_Toc127151520"/>
      <w:bookmarkStart w:id="121" w:name="_Toc127161434"/>
      <w:bookmarkStart w:id="122" w:name="_Toc142311022"/>
      <w:bookmarkStart w:id="123" w:name="_Toc265228358"/>
      <w:bookmarkStart w:id="124" w:name="_Toc150509271"/>
      <w:bookmarkStart w:id="125" w:name="_Toc151190147"/>
      <w:bookmarkStart w:id="126" w:name="_Toc15077462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、项目属性、科研仪器设备采购、核心产品</w:t>
      </w:r>
    </w:p>
    <w:p w14:paraId="5ECC2FC2">
      <w:pPr>
        <w:numPr>
          <w:ilvl w:val="1"/>
          <w:numId w:val="14"/>
        </w:numPr>
        <w:tabs>
          <w:tab w:val="left" w:pos="1080"/>
          <w:tab w:val="left" w:pos="2014"/>
        </w:tabs>
        <w:snapToGrid w:val="0"/>
        <w:spacing w:line="360" w:lineRule="auto"/>
        <w:ind w:left="1080" w:hanging="720"/>
        <w:rPr>
          <w:sz w:val="24"/>
        </w:rPr>
      </w:pPr>
      <w:r>
        <w:rPr>
          <w:sz w:val="24"/>
        </w:rPr>
        <w:t>资金来源为财政性资金/本项目采购中无法与财政性资金分割的非财政性资金。</w:t>
      </w:r>
    </w:p>
    <w:p w14:paraId="4E629868">
      <w:pPr>
        <w:numPr>
          <w:ilvl w:val="1"/>
          <w:numId w:val="14"/>
        </w:numPr>
        <w:tabs>
          <w:tab w:val="left" w:pos="1080"/>
          <w:tab w:val="left" w:pos="2014"/>
        </w:tabs>
        <w:snapToGrid w:val="0"/>
        <w:spacing w:line="360" w:lineRule="auto"/>
        <w:ind w:left="1080" w:hanging="720"/>
        <w:rPr>
          <w:sz w:val="24"/>
        </w:rPr>
      </w:pPr>
      <w:r>
        <w:rPr>
          <w:sz w:val="24"/>
        </w:rPr>
        <w:t>项目属性见《</w:t>
      </w:r>
      <w:r>
        <w:rPr>
          <w:rFonts w:hint="eastAsia"/>
          <w:sz w:val="24"/>
        </w:rPr>
        <w:t>参选人</w:t>
      </w:r>
      <w:r>
        <w:rPr>
          <w:sz w:val="24"/>
        </w:rPr>
        <w:t>须知资料表》。</w:t>
      </w:r>
    </w:p>
    <w:p w14:paraId="4E708489">
      <w:pPr>
        <w:numPr>
          <w:ilvl w:val="1"/>
          <w:numId w:val="14"/>
        </w:numPr>
        <w:tabs>
          <w:tab w:val="left" w:pos="1080"/>
          <w:tab w:val="left" w:pos="2014"/>
        </w:tabs>
        <w:snapToGrid w:val="0"/>
        <w:spacing w:line="360" w:lineRule="auto"/>
        <w:ind w:left="1080" w:hanging="720"/>
        <w:rPr>
          <w:sz w:val="24"/>
        </w:rPr>
      </w:pPr>
      <w:r>
        <w:rPr>
          <w:sz w:val="24"/>
        </w:rPr>
        <w:t>是否属于科研仪器设备采购见《</w:t>
      </w:r>
      <w:r>
        <w:rPr>
          <w:rFonts w:hint="eastAsia"/>
          <w:sz w:val="24"/>
        </w:rPr>
        <w:t>参选人</w:t>
      </w:r>
      <w:r>
        <w:rPr>
          <w:sz w:val="24"/>
        </w:rPr>
        <w:t>须知资料表》。</w:t>
      </w:r>
    </w:p>
    <w:p w14:paraId="0E16C25E">
      <w:pPr>
        <w:numPr>
          <w:ilvl w:val="1"/>
          <w:numId w:val="14"/>
        </w:numPr>
        <w:tabs>
          <w:tab w:val="left" w:pos="1080"/>
          <w:tab w:val="left" w:pos="2014"/>
          <w:tab w:val="left" w:pos="5521"/>
        </w:tabs>
        <w:snapToGrid w:val="0"/>
        <w:spacing w:line="360" w:lineRule="auto"/>
        <w:ind w:left="1080" w:hanging="720"/>
        <w:rPr>
          <w:sz w:val="24"/>
        </w:rPr>
      </w:pPr>
      <w:r>
        <w:rPr>
          <w:sz w:val="24"/>
        </w:rPr>
        <w:t>核心产品见《</w:t>
      </w:r>
      <w:r>
        <w:rPr>
          <w:rFonts w:hint="eastAsia"/>
          <w:sz w:val="24"/>
        </w:rPr>
        <w:t>参选人</w:t>
      </w:r>
      <w:r>
        <w:rPr>
          <w:sz w:val="24"/>
        </w:rPr>
        <w:t>须知资料表》。</w:t>
      </w:r>
    </w:p>
    <w:p w14:paraId="5E9B065C">
      <w:pPr>
        <w:numPr>
          <w:ilvl w:val="0"/>
          <w:numId w:val="14"/>
        </w:numPr>
        <w:tabs>
          <w:tab w:val="left" w:pos="360"/>
        </w:tabs>
        <w:snapToGrid w:val="0"/>
        <w:spacing w:line="360" w:lineRule="auto"/>
        <w:ind w:left="357" w:hanging="357"/>
        <w:outlineLvl w:val="1"/>
        <w:rPr>
          <w:sz w:val="24"/>
        </w:rPr>
      </w:pPr>
      <w:r>
        <w:rPr>
          <w:sz w:val="24"/>
        </w:rPr>
        <w:t>现场考察、开标前答疑会</w:t>
      </w:r>
    </w:p>
    <w:p w14:paraId="2BBFAFE8">
      <w:pPr>
        <w:numPr>
          <w:ilvl w:val="1"/>
          <w:numId w:val="14"/>
        </w:numPr>
        <w:tabs>
          <w:tab w:val="left" w:pos="1080"/>
          <w:tab w:val="left" w:pos="2014"/>
        </w:tabs>
        <w:snapToGrid w:val="0"/>
        <w:spacing w:line="360" w:lineRule="auto"/>
        <w:ind w:left="1080" w:hanging="720"/>
        <w:rPr>
          <w:sz w:val="28"/>
        </w:rPr>
      </w:pPr>
      <w:r>
        <w:rPr>
          <w:sz w:val="24"/>
        </w:rPr>
        <w:t>若《</w:t>
      </w:r>
      <w:r>
        <w:rPr>
          <w:rFonts w:hint="eastAsia"/>
          <w:sz w:val="24"/>
        </w:rPr>
        <w:t>参选人</w:t>
      </w:r>
      <w:r>
        <w:rPr>
          <w:sz w:val="24"/>
        </w:rPr>
        <w:t>须知资料表》中规定了组织现场考察、召开开标前答疑会，则</w:t>
      </w:r>
      <w:r>
        <w:rPr>
          <w:rFonts w:hint="eastAsia"/>
          <w:sz w:val="24"/>
        </w:rPr>
        <w:t>参选人</w:t>
      </w:r>
      <w:r>
        <w:rPr>
          <w:sz w:val="24"/>
        </w:rPr>
        <w:t>应按要求在规定的时间和地点参加。</w:t>
      </w:r>
      <w:bookmarkStart w:id="127" w:name="_Toc226965795"/>
      <w:bookmarkStart w:id="128" w:name="_Toc150774727"/>
      <w:bookmarkStart w:id="129" w:name="_Toc151193836"/>
      <w:bookmarkStart w:id="130" w:name="_Toc264969212"/>
      <w:bookmarkStart w:id="131" w:name="_Toc195842887"/>
      <w:bookmarkStart w:id="132" w:name="_Toc520356146"/>
      <w:bookmarkStart w:id="133" w:name="_Toc226965712"/>
      <w:bookmarkStart w:id="134" w:name="_Toc151193764"/>
      <w:bookmarkStart w:id="135" w:name="_Toc305158790"/>
      <w:bookmarkStart w:id="136" w:name="_Toc151193692"/>
      <w:bookmarkStart w:id="137" w:name="_Toc265228360"/>
      <w:bookmarkStart w:id="138" w:name="_Toc226337218"/>
      <w:bookmarkStart w:id="139" w:name="_Toc142311024"/>
      <w:bookmarkStart w:id="140" w:name="_Toc150774622"/>
      <w:bookmarkStart w:id="141" w:name="_Toc150480760"/>
      <w:bookmarkStart w:id="142" w:name="_Toc151193910"/>
      <w:bookmarkStart w:id="143" w:name="_Toc151193620"/>
      <w:bookmarkStart w:id="144" w:name="_Toc226309766"/>
      <w:bookmarkStart w:id="145" w:name="_Toc305158864"/>
      <w:bookmarkStart w:id="146" w:name="_Toc127151522"/>
      <w:bookmarkStart w:id="147" w:name="_Toc150509273"/>
      <w:bookmarkStart w:id="148" w:name="_Toc151190149"/>
    </w:p>
    <w:p w14:paraId="24220F87">
      <w:pPr>
        <w:numPr>
          <w:ilvl w:val="1"/>
          <w:numId w:val="14"/>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w:t>
      </w:r>
      <w:r>
        <w:rPr>
          <w:rFonts w:hint="eastAsia"/>
          <w:sz w:val="24"/>
        </w:rPr>
        <w:t>响应文件</w:t>
      </w:r>
      <w:r>
        <w:rPr>
          <w:sz w:val="24"/>
        </w:rPr>
        <w:t>编制、</w:t>
      </w:r>
      <w:r>
        <w:rPr>
          <w:rFonts w:hint="eastAsia"/>
          <w:sz w:val="24"/>
        </w:rPr>
        <w:t>比选报价</w:t>
      </w:r>
      <w:r>
        <w:rPr>
          <w:sz w:val="24"/>
        </w:rPr>
        <w:t>准确性、综合因素响应不全面等问题的，由</w:t>
      </w:r>
      <w:r>
        <w:rPr>
          <w:rFonts w:hint="eastAsia"/>
          <w:sz w:val="24"/>
        </w:rPr>
        <w:t>参选人</w:t>
      </w:r>
      <w:r>
        <w:rPr>
          <w:sz w:val="24"/>
        </w:rPr>
        <w:t>自行承担不利评审后果。</w:t>
      </w:r>
    </w:p>
    <w:p w14:paraId="1C53BFD4">
      <w:pPr>
        <w:numPr>
          <w:ilvl w:val="0"/>
          <w:numId w:val="14"/>
        </w:numPr>
        <w:tabs>
          <w:tab w:val="left" w:pos="360"/>
        </w:tabs>
        <w:snapToGrid w:val="0"/>
        <w:spacing w:line="360" w:lineRule="auto"/>
        <w:ind w:left="357" w:hanging="357"/>
        <w:outlineLvl w:val="1"/>
        <w:rPr>
          <w:sz w:val="24"/>
        </w:rPr>
      </w:pPr>
      <w:r>
        <w:rPr>
          <w:sz w:val="24"/>
        </w:rPr>
        <w:t>样品</w:t>
      </w:r>
    </w:p>
    <w:p w14:paraId="788DC611">
      <w:pPr>
        <w:numPr>
          <w:ilvl w:val="1"/>
          <w:numId w:val="14"/>
        </w:numPr>
        <w:tabs>
          <w:tab w:val="left" w:pos="1080"/>
          <w:tab w:val="left" w:pos="2014"/>
        </w:tabs>
        <w:snapToGrid w:val="0"/>
        <w:spacing w:line="360" w:lineRule="auto"/>
        <w:ind w:left="1080" w:hanging="720"/>
        <w:rPr>
          <w:sz w:val="24"/>
        </w:rPr>
      </w:pPr>
      <w:r>
        <w:rPr>
          <w:sz w:val="24"/>
        </w:rPr>
        <w:t>本项目是否要求</w:t>
      </w:r>
      <w:r>
        <w:rPr>
          <w:rFonts w:hint="eastAsia"/>
          <w:sz w:val="24"/>
        </w:rPr>
        <w:t>参选人</w:t>
      </w:r>
      <w:r>
        <w:rPr>
          <w:sz w:val="24"/>
        </w:rPr>
        <w:t>提供样品，以及样品制作的标准和要求、是否需要随样品提交相关检测报告、样品的递交与退还等要求见《</w:t>
      </w:r>
      <w:r>
        <w:rPr>
          <w:rFonts w:hint="eastAsia"/>
          <w:sz w:val="24"/>
        </w:rPr>
        <w:t>参选人</w:t>
      </w:r>
      <w:r>
        <w:rPr>
          <w:sz w:val="24"/>
        </w:rPr>
        <w:t>须知资料表》</w:t>
      </w:r>
      <w:r>
        <w:rPr>
          <w:rFonts w:hint="eastAsia"/>
          <w:sz w:val="24"/>
        </w:rPr>
        <w:t>。</w:t>
      </w:r>
    </w:p>
    <w:p w14:paraId="4D5151A9">
      <w:pPr>
        <w:numPr>
          <w:ilvl w:val="1"/>
          <w:numId w:val="14"/>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14:paraId="7E8B220F">
      <w:pPr>
        <w:numPr>
          <w:ilvl w:val="0"/>
          <w:numId w:val="14"/>
        </w:numPr>
        <w:tabs>
          <w:tab w:val="left" w:pos="360"/>
          <w:tab w:val="clear" w:pos="900"/>
        </w:tabs>
        <w:snapToGrid w:val="0"/>
        <w:spacing w:line="360" w:lineRule="auto"/>
        <w:ind w:left="357" w:hanging="357"/>
        <w:outlineLvl w:val="1"/>
        <w:rPr>
          <w:sz w:val="24"/>
        </w:rPr>
      </w:pPr>
      <w:r>
        <w:rPr>
          <w:sz w:val="24"/>
        </w:rPr>
        <w:t>政府采购政策</w:t>
      </w:r>
    </w:p>
    <w:p w14:paraId="7F715BD8">
      <w:pPr>
        <w:numPr>
          <w:ilvl w:val="1"/>
          <w:numId w:val="14"/>
        </w:numPr>
        <w:tabs>
          <w:tab w:val="left" w:pos="1080"/>
          <w:tab w:val="left" w:pos="2014"/>
        </w:tabs>
        <w:snapToGrid w:val="0"/>
        <w:spacing w:line="360" w:lineRule="auto"/>
        <w:ind w:left="1080" w:hanging="720"/>
        <w:rPr>
          <w:sz w:val="24"/>
        </w:rPr>
      </w:pPr>
      <w:r>
        <w:rPr>
          <w:sz w:val="24"/>
        </w:rPr>
        <w:t>进口产品</w:t>
      </w:r>
    </w:p>
    <w:p w14:paraId="3BFA2AFF">
      <w:pPr>
        <w:numPr>
          <w:ilvl w:val="2"/>
          <w:numId w:val="14"/>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DB7A731">
      <w:pPr>
        <w:numPr>
          <w:ilvl w:val="2"/>
          <w:numId w:val="14"/>
        </w:numPr>
        <w:tabs>
          <w:tab w:val="left" w:pos="2014"/>
        </w:tabs>
        <w:snapToGrid w:val="0"/>
        <w:spacing w:line="360" w:lineRule="auto"/>
        <w:rPr>
          <w:sz w:val="24"/>
        </w:rPr>
      </w:pPr>
      <w:r>
        <w:rPr>
          <w:sz w:val="24"/>
        </w:rPr>
        <w:t>本项目是否接受进口产品见第五章《采购需求》。</w:t>
      </w:r>
    </w:p>
    <w:p w14:paraId="219D54CA">
      <w:pPr>
        <w:numPr>
          <w:ilvl w:val="1"/>
          <w:numId w:val="14"/>
        </w:numPr>
        <w:tabs>
          <w:tab w:val="left" w:pos="1080"/>
          <w:tab w:val="left" w:pos="2014"/>
        </w:tabs>
        <w:snapToGrid w:val="0"/>
        <w:spacing w:line="360" w:lineRule="auto"/>
        <w:ind w:left="1080" w:hanging="720"/>
        <w:rPr>
          <w:sz w:val="24"/>
        </w:rPr>
      </w:pPr>
      <w:r>
        <w:rPr>
          <w:sz w:val="24"/>
        </w:rPr>
        <w:t>中小企业、监狱企业及残疾人福利性单位</w:t>
      </w:r>
    </w:p>
    <w:p w14:paraId="5BDA2222">
      <w:pPr>
        <w:numPr>
          <w:ilvl w:val="2"/>
          <w:numId w:val="14"/>
        </w:numPr>
        <w:snapToGrid w:val="0"/>
        <w:spacing w:line="360" w:lineRule="auto"/>
        <w:rPr>
          <w:sz w:val="24"/>
        </w:rPr>
      </w:pPr>
      <w:r>
        <w:rPr>
          <w:sz w:val="24"/>
        </w:rPr>
        <w:t>中小企业定义：</w:t>
      </w:r>
    </w:p>
    <w:p w14:paraId="6D4469C6">
      <w:pPr>
        <w:pStyle w:val="112"/>
        <w:numPr>
          <w:ilvl w:val="0"/>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15CAEF6">
      <w:pPr>
        <w:pStyle w:val="112"/>
        <w:numPr>
          <w:ilvl w:val="0"/>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460468A">
      <w:pPr>
        <w:pStyle w:val="112"/>
        <w:numPr>
          <w:ilvl w:val="0"/>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541C704">
      <w:pPr>
        <w:pStyle w:val="112"/>
        <w:numPr>
          <w:ilvl w:val="0"/>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54099CF">
      <w:pPr>
        <w:pStyle w:val="112"/>
        <w:numPr>
          <w:ilvl w:val="0"/>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03B1D0B">
      <w:pPr>
        <w:pStyle w:val="112"/>
        <w:numPr>
          <w:ilvl w:val="1"/>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2697BE2">
      <w:pPr>
        <w:pStyle w:val="112"/>
        <w:numPr>
          <w:ilvl w:val="1"/>
          <w:numId w:val="15"/>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4BEA26D">
      <w:pPr>
        <w:pStyle w:val="112"/>
        <w:numPr>
          <w:ilvl w:val="2"/>
          <w:numId w:val="15"/>
        </w:numPr>
        <w:tabs>
          <w:tab w:val="left" w:pos="2035"/>
          <w:tab w:val="left" w:pos="2977"/>
        </w:tabs>
        <w:snapToGrid w:val="0"/>
        <w:spacing w:line="360" w:lineRule="auto"/>
        <w:ind w:firstLineChars="0"/>
        <w:rPr>
          <w:rFonts w:ascii="Times New Roman" w:hAnsi="Times New Roman"/>
          <w:vanish/>
          <w:color w:val="000000"/>
          <w:sz w:val="24"/>
          <w:szCs w:val="24"/>
        </w:rPr>
      </w:pPr>
    </w:p>
    <w:p w14:paraId="2478F08D">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D2EAC0E">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1C46461A">
      <w:pPr>
        <w:tabs>
          <w:tab w:val="left" w:pos="1980"/>
        </w:tabs>
        <w:snapToGrid w:val="0"/>
        <w:spacing w:line="360" w:lineRule="auto"/>
        <w:ind w:left="3240" w:leftChars="1350"/>
        <w:rPr>
          <w:color w:val="000000"/>
          <w:sz w:val="24"/>
        </w:rPr>
      </w:pPr>
      <w:r>
        <w:rPr>
          <w:color w:val="000000"/>
          <w:sz w:val="24"/>
        </w:rPr>
        <w:t>（1）在货物采购项目中，货物由中小企业制造，即货物由中小企业生产且使用该中小企业商号或者注册商标；</w:t>
      </w:r>
    </w:p>
    <w:p w14:paraId="3D7E9B74">
      <w:pPr>
        <w:tabs>
          <w:tab w:val="left" w:pos="1980"/>
        </w:tabs>
        <w:snapToGrid w:val="0"/>
        <w:spacing w:line="360" w:lineRule="auto"/>
        <w:ind w:left="3240" w:leftChars="1350"/>
        <w:rPr>
          <w:color w:val="000000"/>
          <w:sz w:val="24"/>
        </w:rPr>
      </w:pPr>
      <w:r>
        <w:rPr>
          <w:color w:val="000000"/>
          <w:sz w:val="24"/>
        </w:rPr>
        <w:t>（2）在工程采购项目中，工程由中小企业承建，即工程施工单位为中小企业；</w:t>
      </w:r>
    </w:p>
    <w:p w14:paraId="1A948EDC">
      <w:pPr>
        <w:tabs>
          <w:tab w:val="left" w:pos="1980"/>
        </w:tabs>
        <w:snapToGrid w:val="0"/>
        <w:spacing w:line="360" w:lineRule="auto"/>
        <w:ind w:left="3240"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4A65D2B2">
      <w:pPr>
        <w:numPr>
          <w:ilvl w:val="3"/>
          <w:numId w:val="15"/>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8D32ADF">
      <w:pPr>
        <w:numPr>
          <w:ilvl w:val="3"/>
          <w:numId w:val="15"/>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F379AAB">
      <w:pPr>
        <w:numPr>
          <w:ilvl w:val="2"/>
          <w:numId w:val="14"/>
        </w:numPr>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704D18">
      <w:pPr>
        <w:numPr>
          <w:ilvl w:val="2"/>
          <w:numId w:val="14"/>
        </w:numPr>
        <w:snapToGrid w:val="0"/>
        <w:spacing w:line="360" w:lineRule="auto"/>
        <w:rPr>
          <w:sz w:val="24"/>
        </w:rPr>
      </w:pPr>
      <w:r>
        <w:rPr>
          <w:sz w:val="24"/>
        </w:rPr>
        <w:t>残疾人福利单位定义：享受政府采购支持政策的残疾人福利性单位应当同时满足以下条件：</w:t>
      </w:r>
    </w:p>
    <w:p w14:paraId="235C9EAE">
      <w:pPr>
        <w:pStyle w:val="112"/>
        <w:numPr>
          <w:ilvl w:val="2"/>
          <w:numId w:val="15"/>
        </w:numPr>
        <w:tabs>
          <w:tab w:val="left" w:pos="2035"/>
          <w:tab w:val="left" w:pos="2977"/>
        </w:tabs>
        <w:snapToGrid w:val="0"/>
        <w:spacing w:line="360" w:lineRule="auto"/>
        <w:ind w:firstLineChars="0"/>
        <w:rPr>
          <w:rFonts w:ascii="Times New Roman" w:hAnsi="Times New Roman"/>
          <w:vanish/>
          <w:color w:val="000000"/>
          <w:sz w:val="24"/>
          <w:szCs w:val="24"/>
        </w:rPr>
      </w:pPr>
    </w:p>
    <w:p w14:paraId="75E481D1">
      <w:pPr>
        <w:pStyle w:val="112"/>
        <w:numPr>
          <w:ilvl w:val="2"/>
          <w:numId w:val="15"/>
        </w:numPr>
        <w:tabs>
          <w:tab w:val="left" w:pos="2035"/>
          <w:tab w:val="left" w:pos="2977"/>
        </w:tabs>
        <w:snapToGrid w:val="0"/>
        <w:spacing w:line="360" w:lineRule="auto"/>
        <w:ind w:firstLineChars="0"/>
        <w:rPr>
          <w:rFonts w:ascii="Times New Roman" w:hAnsi="Times New Roman"/>
          <w:vanish/>
          <w:color w:val="000000"/>
          <w:sz w:val="24"/>
          <w:szCs w:val="24"/>
        </w:rPr>
      </w:pPr>
    </w:p>
    <w:p w14:paraId="3D51F30C">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2F961896">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196369C9">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171731D">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36DE05D1">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14D0E652">
      <w:pPr>
        <w:numPr>
          <w:ilvl w:val="3"/>
          <w:numId w:val="15"/>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040511F">
      <w:pPr>
        <w:numPr>
          <w:ilvl w:val="2"/>
          <w:numId w:val="14"/>
        </w:numPr>
        <w:snapToGrid w:val="0"/>
        <w:spacing w:line="360" w:lineRule="auto"/>
        <w:rPr>
          <w:sz w:val="24"/>
        </w:rPr>
      </w:pPr>
      <w:r>
        <w:rPr>
          <w:sz w:val="24"/>
        </w:rPr>
        <w:t>本项目是否专门面向中小企业预留采购份额见第一章《</w:t>
      </w:r>
      <w:r>
        <w:rPr>
          <w:rFonts w:hint="eastAsia"/>
          <w:sz w:val="24"/>
        </w:rPr>
        <w:t>比选邀请</w:t>
      </w:r>
      <w:r>
        <w:rPr>
          <w:sz w:val="24"/>
        </w:rPr>
        <w:t>》。</w:t>
      </w:r>
    </w:p>
    <w:p w14:paraId="1BBFECAF">
      <w:pPr>
        <w:numPr>
          <w:ilvl w:val="2"/>
          <w:numId w:val="14"/>
        </w:numPr>
        <w:snapToGrid w:val="0"/>
        <w:spacing w:line="360" w:lineRule="auto"/>
        <w:rPr>
          <w:sz w:val="24"/>
        </w:rPr>
      </w:pPr>
      <w:r>
        <w:rPr>
          <w:sz w:val="24"/>
        </w:rPr>
        <w:t>采购标的对应的中小企业划分标准所属行业见《</w:t>
      </w:r>
      <w:r>
        <w:rPr>
          <w:rFonts w:hint="eastAsia"/>
          <w:sz w:val="24"/>
        </w:rPr>
        <w:t>参选人</w:t>
      </w:r>
      <w:r>
        <w:rPr>
          <w:sz w:val="24"/>
        </w:rPr>
        <w:t>须知资料表》。</w:t>
      </w:r>
    </w:p>
    <w:p w14:paraId="4EF162D1">
      <w:pPr>
        <w:numPr>
          <w:ilvl w:val="2"/>
          <w:numId w:val="14"/>
        </w:numPr>
        <w:snapToGrid w:val="0"/>
        <w:spacing w:line="360" w:lineRule="auto"/>
        <w:rPr>
          <w:sz w:val="24"/>
        </w:rPr>
      </w:pPr>
      <w:r>
        <w:rPr>
          <w:sz w:val="24"/>
        </w:rPr>
        <w:t>小微企业价格评审优惠的政策调整：见第四章《评标方法和评标标准》。</w:t>
      </w:r>
    </w:p>
    <w:p w14:paraId="259422EC">
      <w:pPr>
        <w:numPr>
          <w:ilvl w:val="1"/>
          <w:numId w:val="14"/>
        </w:numPr>
        <w:tabs>
          <w:tab w:val="left" w:pos="1080"/>
          <w:tab w:val="left" w:pos="2014"/>
        </w:tabs>
        <w:snapToGrid w:val="0"/>
        <w:spacing w:line="360" w:lineRule="auto"/>
        <w:ind w:left="1080" w:hanging="720"/>
        <w:rPr>
          <w:sz w:val="24"/>
        </w:rPr>
      </w:pPr>
      <w:r>
        <w:rPr>
          <w:sz w:val="24"/>
        </w:rPr>
        <w:t>政府采购节能产品、环境标志产品</w:t>
      </w:r>
    </w:p>
    <w:p w14:paraId="0FE1C88C">
      <w:pPr>
        <w:numPr>
          <w:ilvl w:val="2"/>
          <w:numId w:val="14"/>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D5F6B5C">
      <w:pPr>
        <w:numPr>
          <w:ilvl w:val="2"/>
          <w:numId w:val="14"/>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D096CD1">
      <w:pPr>
        <w:numPr>
          <w:ilvl w:val="2"/>
          <w:numId w:val="14"/>
        </w:numPr>
        <w:snapToGrid w:val="0"/>
        <w:spacing w:line="360" w:lineRule="auto"/>
        <w:rPr>
          <w:sz w:val="24"/>
        </w:rPr>
      </w:pPr>
      <w:r>
        <w:rPr>
          <w:sz w:val="24"/>
        </w:rPr>
        <w:t>如本项目采购产品属于实施政府强制采购品目清单范围的节能产品，则</w:t>
      </w:r>
      <w:r>
        <w:rPr>
          <w:rFonts w:hint="eastAsia"/>
          <w:sz w:val="24"/>
        </w:rPr>
        <w:t>参选人</w:t>
      </w:r>
      <w:r>
        <w:rPr>
          <w:sz w:val="24"/>
        </w:rPr>
        <w:t>所报产品必须获得国家确定的认证机构出具的、处于有效期之内的节能产品认证证书，</w:t>
      </w:r>
      <w:r>
        <w:rPr>
          <w:kern w:val="0"/>
          <w:sz w:val="24"/>
        </w:rPr>
        <w:t>否则</w:t>
      </w:r>
      <w:r>
        <w:rPr>
          <w:b/>
          <w:kern w:val="0"/>
          <w:sz w:val="24"/>
        </w:rPr>
        <w:t>投标无效</w:t>
      </w:r>
      <w:r>
        <w:rPr>
          <w:sz w:val="24"/>
        </w:rPr>
        <w:t>；</w:t>
      </w:r>
    </w:p>
    <w:p w14:paraId="6006A321">
      <w:pPr>
        <w:numPr>
          <w:ilvl w:val="2"/>
          <w:numId w:val="14"/>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w:t>
      </w:r>
    </w:p>
    <w:p w14:paraId="75EAF47F">
      <w:pPr>
        <w:numPr>
          <w:ilvl w:val="1"/>
          <w:numId w:val="14"/>
        </w:numPr>
        <w:tabs>
          <w:tab w:val="left" w:pos="1080"/>
          <w:tab w:val="left" w:pos="2014"/>
        </w:tabs>
        <w:snapToGrid w:val="0"/>
        <w:spacing w:line="360" w:lineRule="auto"/>
        <w:ind w:left="1080" w:hanging="720"/>
        <w:rPr>
          <w:sz w:val="24"/>
        </w:rPr>
      </w:pPr>
      <w:r>
        <w:rPr>
          <w:sz w:val="24"/>
        </w:rPr>
        <w:t>支持乡村产业振兴管理</w:t>
      </w:r>
    </w:p>
    <w:p w14:paraId="06E81E58">
      <w:pPr>
        <w:numPr>
          <w:ilvl w:val="2"/>
          <w:numId w:val="14"/>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为落实《关于运用政府采购政策支持乡村产业振兴的通知》（财库〔2021〕19号）有关要求，做好支持脱贫攻坚工作，本项目采购活动中对于支持乡村振兴管理的相关要求见第五章《采购需求》。</w:t>
      </w:r>
    </w:p>
    <w:p w14:paraId="53CAD61B">
      <w:pPr>
        <w:numPr>
          <w:ilvl w:val="1"/>
          <w:numId w:val="14"/>
        </w:numPr>
        <w:tabs>
          <w:tab w:val="left" w:pos="1080"/>
          <w:tab w:val="left" w:pos="2014"/>
        </w:tabs>
        <w:snapToGrid w:val="0"/>
        <w:spacing w:line="360" w:lineRule="auto"/>
        <w:ind w:left="1080" w:hanging="720"/>
        <w:rPr>
          <w:sz w:val="24"/>
        </w:rPr>
      </w:pPr>
      <w:r>
        <w:rPr>
          <w:sz w:val="24"/>
        </w:rPr>
        <w:t>正版软件</w:t>
      </w:r>
    </w:p>
    <w:p w14:paraId="1998C00C">
      <w:pPr>
        <w:numPr>
          <w:ilvl w:val="2"/>
          <w:numId w:val="14"/>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903FDD4">
      <w:pPr>
        <w:numPr>
          <w:ilvl w:val="2"/>
          <w:numId w:val="14"/>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63D7CB0">
      <w:pPr>
        <w:numPr>
          <w:ilvl w:val="1"/>
          <w:numId w:val="14"/>
        </w:numPr>
        <w:tabs>
          <w:tab w:val="left" w:pos="1080"/>
          <w:tab w:val="left" w:pos="2014"/>
        </w:tabs>
        <w:snapToGrid w:val="0"/>
        <w:spacing w:line="360" w:lineRule="auto"/>
        <w:ind w:left="1080" w:hanging="720"/>
        <w:rPr>
          <w:sz w:val="24"/>
        </w:rPr>
      </w:pPr>
      <w:r>
        <w:rPr>
          <w:sz w:val="24"/>
        </w:rPr>
        <w:t>信息安全产品</w:t>
      </w:r>
    </w:p>
    <w:p w14:paraId="332001D4">
      <w:pPr>
        <w:numPr>
          <w:ilvl w:val="2"/>
          <w:numId w:val="14"/>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。关于信息安全相关规定依据《关于信息安全产品实施政府采购的通知》（财库〔2010〕48 号）。</w:t>
      </w:r>
    </w:p>
    <w:p w14:paraId="7780F1E6">
      <w:pPr>
        <w:numPr>
          <w:ilvl w:val="1"/>
          <w:numId w:val="14"/>
        </w:numPr>
        <w:tabs>
          <w:tab w:val="left" w:pos="1080"/>
          <w:tab w:val="left" w:pos="2014"/>
        </w:tabs>
        <w:snapToGrid w:val="0"/>
        <w:spacing w:line="360" w:lineRule="auto"/>
        <w:ind w:left="1080" w:hanging="720"/>
        <w:rPr>
          <w:sz w:val="24"/>
        </w:rPr>
      </w:pPr>
      <w:r>
        <w:rPr>
          <w:sz w:val="24"/>
        </w:rPr>
        <w:t>推广使用低挥发性有机化合物（VOCs）</w:t>
      </w:r>
    </w:p>
    <w:p w14:paraId="7747101B">
      <w:pPr>
        <w:numPr>
          <w:ilvl w:val="2"/>
          <w:numId w:val="14"/>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538D1D66">
      <w:pPr>
        <w:numPr>
          <w:ilvl w:val="0"/>
          <w:numId w:val="14"/>
        </w:numPr>
        <w:tabs>
          <w:tab w:val="left" w:pos="360"/>
        </w:tabs>
        <w:snapToGrid w:val="0"/>
        <w:spacing w:line="360" w:lineRule="auto"/>
        <w:ind w:left="357" w:hanging="357"/>
        <w:outlineLvl w:val="1"/>
        <w:rPr>
          <w:sz w:val="24"/>
        </w:rPr>
      </w:pPr>
      <w:r>
        <w:rPr>
          <w:sz w:val="24"/>
        </w:rPr>
        <w:t>投标费用</w:t>
      </w:r>
    </w:p>
    <w:p w14:paraId="386CEC5A">
      <w:pPr>
        <w:numPr>
          <w:ilvl w:val="1"/>
          <w:numId w:val="14"/>
        </w:numPr>
        <w:tabs>
          <w:tab w:val="left" w:pos="1080"/>
          <w:tab w:val="left" w:pos="2014"/>
        </w:tabs>
        <w:snapToGrid w:val="0"/>
        <w:spacing w:line="360" w:lineRule="auto"/>
        <w:ind w:left="1080" w:hanging="720"/>
        <w:rPr>
          <w:sz w:val="24"/>
        </w:rPr>
      </w:pPr>
      <w:r>
        <w:rPr>
          <w:rFonts w:hint="eastAsia"/>
          <w:sz w:val="24"/>
        </w:rPr>
        <w:t>参选人</w:t>
      </w:r>
      <w:r>
        <w:rPr>
          <w:sz w:val="24"/>
        </w:rPr>
        <w:t>应自行承担所有与准备和参加投标有关的费用，无论投标的结果如何，采购人或采购代理机构在任何情况下均无承担这些费用的义务和责任。</w:t>
      </w:r>
    </w:p>
    <w:p w14:paraId="3D983B71">
      <w:pPr>
        <w:tabs>
          <w:tab w:val="left" w:pos="1080"/>
        </w:tabs>
        <w:snapToGrid w:val="0"/>
        <w:spacing w:line="360" w:lineRule="auto"/>
        <w:ind w:left="1080"/>
        <w:rPr>
          <w:sz w:val="28"/>
        </w:rPr>
      </w:pPr>
      <w:bookmarkStart w:id="149" w:name="_1.8_计量单位"/>
      <w:bookmarkEnd w:id="149"/>
    </w:p>
    <w:p w14:paraId="4E998D70">
      <w:pPr>
        <w:pStyle w:val="3"/>
        <w:spacing w:before="0" w:line="360" w:lineRule="auto"/>
        <w:rPr>
          <w:rFonts w:ascii="Times New Roman" w:hAnsi="Times New Roman" w:eastAsia="宋体"/>
          <w:sz w:val="28"/>
        </w:rPr>
      </w:pPr>
      <w:r>
        <w:rPr>
          <w:rFonts w:ascii="Times New Roman" w:hAnsi="Times New Roman" w:eastAsia="宋体"/>
          <w:sz w:val="28"/>
        </w:rPr>
        <w:t xml:space="preserve">二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ascii="Times New Roman" w:hAnsi="Times New Roman" w:eastAsia="宋体"/>
          <w:sz w:val="28"/>
        </w:rPr>
        <w:t>比选文件</w:t>
      </w:r>
    </w:p>
    <w:p w14:paraId="4C21A02D">
      <w:pPr>
        <w:numPr>
          <w:ilvl w:val="0"/>
          <w:numId w:val="14"/>
        </w:numPr>
        <w:tabs>
          <w:tab w:val="left" w:pos="360"/>
        </w:tabs>
        <w:snapToGrid w:val="0"/>
        <w:spacing w:line="360" w:lineRule="auto"/>
        <w:ind w:left="357" w:hanging="357"/>
        <w:outlineLvl w:val="1"/>
        <w:rPr>
          <w:sz w:val="24"/>
        </w:rPr>
      </w:pPr>
      <w:bookmarkStart w:id="150" w:name="_Toc151190150"/>
      <w:bookmarkStart w:id="151" w:name="_Toc127161437"/>
      <w:bookmarkStart w:id="152" w:name="_Toc150774623"/>
      <w:bookmarkStart w:id="153" w:name="_Toc151193837"/>
      <w:bookmarkStart w:id="154" w:name="_Toc164608637"/>
      <w:bookmarkStart w:id="155" w:name="_Toc150480761"/>
      <w:bookmarkStart w:id="156" w:name="_Toc164351617"/>
      <w:bookmarkStart w:id="157" w:name="_Toc226337219"/>
      <w:bookmarkStart w:id="158" w:name="_Toc226965796"/>
      <w:bookmarkStart w:id="159" w:name="_Toc195842888"/>
      <w:bookmarkStart w:id="160" w:name="_Toc127151724"/>
      <w:bookmarkStart w:id="161" w:name="_Toc164229364"/>
      <w:bookmarkStart w:id="162" w:name="_Toc265228361"/>
      <w:bookmarkStart w:id="163" w:name="_Toc150774728"/>
      <w:bookmarkStart w:id="164" w:name="_Toc164229218"/>
      <w:bookmarkStart w:id="165" w:name="_Toc149720816"/>
      <w:bookmarkStart w:id="166" w:name="_Toc520356147"/>
      <w:bookmarkStart w:id="167" w:name="_Toc151193765"/>
      <w:bookmarkStart w:id="168" w:name="_Toc151193621"/>
      <w:bookmarkStart w:id="169" w:name="_Toc151193911"/>
      <w:bookmarkStart w:id="170" w:name="_Toc264969213"/>
      <w:bookmarkStart w:id="171" w:name="_Toc305158865"/>
      <w:bookmarkStart w:id="172" w:name="_Toc127151523"/>
      <w:bookmarkStart w:id="173" w:name="_Toc142311025"/>
      <w:bookmarkStart w:id="174" w:name="_Toc150509274"/>
      <w:bookmarkStart w:id="175" w:name="_Toc164608792"/>
      <w:bookmarkStart w:id="176" w:name="_Toc226309767"/>
      <w:bookmarkStart w:id="177" w:name="_Toc226965713"/>
      <w:bookmarkStart w:id="178" w:name="_Toc151193693"/>
      <w:bookmarkStart w:id="179" w:name="_Toc305158791"/>
      <w:r>
        <w:rPr>
          <w:rFonts w:hint="eastAsia"/>
          <w:sz w:val="24"/>
        </w:rPr>
        <w:t>比选文件</w:t>
      </w:r>
      <w:r>
        <w:rPr>
          <w:sz w:val="24"/>
        </w:rPr>
        <w:t>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6165B2B6">
      <w:pPr>
        <w:numPr>
          <w:ilvl w:val="1"/>
          <w:numId w:val="14"/>
        </w:numPr>
        <w:tabs>
          <w:tab w:val="left" w:pos="1080"/>
          <w:tab w:val="left" w:pos="2014"/>
        </w:tabs>
        <w:snapToGrid w:val="0"/>
        <w:spacing w:line="360" w:lineRule="auto"/>
        <w:ind w:left="1080" w:hanging="720"/>
        <w:rPr>
          <w:sz w:val="24"/>
        </w:rPr>
      </w:pPr>
      <w:r>
        <w:rPr>
          <w:rFonts w:hint="eastAsia"/>
          <w:sz w:val="24"/>
        </w:rPr>
        <w:t>比选文件</w:t>
      </w:r>
      <w:r>
        <w:rPr>
          <w:sz w:val="24"/>
        </w:rPr>
        <w:t>包括以下部分：</w:t>
      </w:r>
    </w:p>
    <w:p w14:paraId="58327DA5">
      <w:pPr>
        <w:numPr>
          <w:ilvl w:val="0"/>
          <w:numId w:val="16"/>
        </w:numPr>
        <w:tabs>
          <w:tab w:val="left" w:pos="1980"/>
          <w:tab w:val="left" w:pos="2520"/>
        </w:tabs>
        <w:snapToGrid w:val="0"/>
        <w:spacing w:line="360" w:lineRule="auto"/>
        <w:ind w:left="1440" w:firstLine="5"/>
        <w:rPr>
          <w:sz w:val="24"/>
        </w:rPr>
      </w:pPr>
      <w:r>
        <w:rPr>
          <w:rFonts w:hint="eastAsia"/>
          <w:sz w:val="24"/>
        </w:rPr>
        <w:t>比选邀请</w:t>
      </w:r>
    </w:p>
    <w:p w14:paraId="1CB2D97F">
      <w:pPr>
        <w:numPr>
          <w:ilvl w:val="0"/>
          <w:numId w:val="16"/>
        </w:numPr>
        <w:tabs>
          <w:tab w:val="left" w:pos="1980"/>
          <w:tab w:val="left" w:pos="2520"/>
        </w:tabs>
        <w:snapToGrid w:val="0"/>
        <w:spacing w:line="360" w:lineRule="auto"/>
        <w:ind w:left="1440" w:firstLine="5"/>
        <w:rPr>
          <w:sz w:val="24"/>
        </w:rPr>
      </w:pPr>
      <w:r>
        <w:rPr>
          <w:rFonts w:hint="eastAsia"/>
          <w:sz w:val="24"/>
        </w:rPr>
        <w:t>参选人</w:t>
      </w:r>
      <w:r>
        <w:rPr>
          <w:sz w:val="24"/>
        </w:rPr>
        <w:t>须知</w:t>
      </w:r>
    </w:p>
    <w:p w14:paraId="0973F563">
      <w:pPr>
        <w:numPr>
          <w:ilvl w:val="0"/>
          <w:numId w:val="16"/>
        </w:numPr>
        <w:tabs>
          <w:tab w:val="left" w:pos="1980"/>
          <w:tab w:val="left" w:pos="2520"/>
        </w:tabs>
        <w:snapToGrid w:val="0"/>
        <w:spacing w:line="360" w:lineRule="auto"/>
        <w:ind w:left="1440" w:firstLine="5"/>
        <w:rPr>
          <w:sz w:val="24"/>
        </w:rPr>
      </w:pPr>
      <w:r>
        <w:rPr>
          <w:sz w:val="24"/>
        </w:rPr>
        <w:t>资格审查</w:t>
      </w:r>
    </w:p>
    <w:p w14:paraId="3256CAAE">
      <w:pPr>
        <w:numPr>
          <w:ilvl w:val="0"/>
          <w:numId w:val="16"/>
        </w:numPr>
        <w:tabs>
          <w:tab w:val="left" w:pos="1980"/>
          <w:tab w:val="left" w:pos="2520"/>
        </w:tabs>
        <w:snapToGrid w:val="0"/>
        <w:spacing w:line="360" w:lineRule="auto"/>
        <w:ind w:left="1440" w:firstLine="5"/>
        <w:rPr>
          <w:sz w:val="24"/>
        </w:rPr>
      </w:pPr>
      <w:r>
        <w:rPr>
          <w:sz w:val="24"/>
        </w:rPr>
        <w:t>评标程序、评标方法和评标标准</w:t>
      </w:r>
    </w:p>
    <w:p w14:paraId="506D35C0">
      <w:pPr>
        <w:numPr>
          <w:ilvl w:val="0"/>
          <w:numId w:val="16"/>
        </w:numPr>
        <w:tabs>
          <w:tab w:val="left" w:pos="1980"/>
          <w:tab w:val="left" w:pos="2520"/>
        </w:tabs>
        <w:snapToGrid w:val="0"/>
        <w:spacing w:line="360" w:lineRule="auto"/>
        <w:ind w:left="1440" w:firstLine="5"/>
        <w:rPr>
          <w:sz w:val="24"/>
        </w:rPr>
      </w:pPr>
      <w:r>
        <w:rPr>
          <w:sz w:val="24"/>
        </w:rPr>
        <w:t>采购需求</w:t>
      </w:r>
    </w:p>
    <w:p w14:paraId="33A65C49">
      <w:pPr>
        <w:numPr>
          <w:ilvl w:val="0"/>
          <w:numId w:val="16"/>
        </w:numPr>
        <w:tabs>
          <w:tab w:val="left" w:pos="1980"/>
          <w:tab w:val="left" w:pos="2520"/>
        </w:tabs>
        <w:snapToGrid w:val="0"/>
        <w:spacing w:line="360" w:lineRule="auto"/>
        <w:ind w:left="1440" w:firstLine="5"/>
        <w:rPr>
          <w:sz w:val="24"/>
        </w:rPr>
      </w:pPr>
      <w:r>
        <w:rPr>
          <w:sz w:val="24"/>
        </w:rPr>
        <w:t>拟签订的合同文本</w:t>
      </w:r>
    </w:p>
    <w:p w14:paraId="75036F46">
      <w:pPr>
        <w:numPr>
          <w:ilvl w:val="0"/>
          <w:numId w:val="16"/>
        </w:numPr>
        <w:tabs>
          <w:tab w:val="left" w:pos="1980"/>
          <w:tab w:val="left" w:pos="2520"/>
        </w:tabs>
        <w:snapToGrid w:val="0"/>
        <w:spacing w:line="360" w:lineRule="auto"/>
        <w:ind w:left="1440" w:firstLine="5"/>
        <w:rPr>
          <w:sz w:val="24"/>
        </w:rPr>
      </w:pPr>
      <w:r>
        <w:rPr>
          <w:rFonts w:hint="eastAsia"/>
          <w:sz w:val="24"/>
        </w:rPr>
        <w:t>响应文件</w:t>
      </w:r>
      <w:r>
        <w:rPr>
          <w:sz w:val="24"/>
        </w:rPr>
        <w:t>格式</w:t>
      </w:r>
    </w:p>
    <w:p w14:paraId="348C9831">
      <w:pPr>
        <w:numPr>
          <w:ilvl w:val="1"/>
          <w:numId w:val="14"/>
        </w:numPr>
        <w:tabs>
          <w:tab w:val="left" w:pos="1080"/>
          <w:tab w:val="left" w:pos="2014"/>
        </w:tabs>
        <w:snapToGrid w:val="0"/>
        <w:spacing w:line="360" w:lineRule="auto"/>
        <w:ind w:left="1080" w:hanging="720"/>
        <w:rPr>
          <w:sz w:val="24"/>
        </w:rPr>
      </w:pPr>
      <w:r>
        <w:rPr>
          <w:rFonts w:hint="eastAsia"/>
          <w:sz w:val="24"/>
        </w:rPr>
        <w:t>参选人</w:t>
      </w:r>
      <w:r>
        <w:rPr>
          <w:sz w:val="24"/>
        </w:rPr>
        <w:t>应认真阅读</w:t>
      </w:r>
      <w:r>
        <w:rPr>
          <w:rFonts w:hint="eastAsia"/>
          <w:sz w:val="24"/>
        </w:rPr>
        <w:t>比选文件</w:t>
      </w:r>
      <w:r>
        <w:rPr>
          <w:sz w:val="24"/>
        </w:rPr>
        <w:t>的全部内容。</w:t>
      </w:r>
      <w:r>
        <w:rPr>
          <w:rFonts w:hint="eastAsia"/>
          <w:sz w:val="24"/>
        </w:rPr>
        <w:t>参选人</w:t>
      </w:r>
      <w:r>
        <w:rPr>
          <w:sz w:val="24"/>
        </w:rPr>
        <w:t>应按照</w:t>
      </w:r>
      <w:r>
        <w:rPr>
          <w:rFonts w:hint="eastAsia"/>
          <w:sz w:val="24"/>
        </w:rPr>
        <w:t>比选文件</w:t>
      </w:r>
      <w:r>
        <w:rPr>
          <w:sz w:val="24"/>
        </w:rPr>
        <w:t>要求提交</w:t>
      </w:r>
      <w:r>
        <w:rPr>
          <w:rFonts w:hint="eastAsia"/>
          <w:sz w:val="24"/>
        </w:rPr>
        <w:t>响应文件</w:t>
      </w:r>
      <w:r>
        <w:rPr>
          <w:sz w:val="24"/>
        </w:rPr>
        <w:t>并保证所提供的全部资料的真实性，并对</w:t>
      </w:r>
      <w:r>
        <w:rPr>
          <w:rFonts w:hint="eastAsia"/>
          <w:sz w:val="24"/>
        </w:rPr>
        <w:t>比选文件作</w:t>
      </w:r>
      <w:r>
        <w:rPr>
          <w:sz w:val="24"/>
        </w:rPr>
        <w:t>出实质性响应，否则</w:t>
      </w:r>
      <w:r>
        <w:rPr>
          <w:b/>
          <w:sz w:val="24"/>
        </w:rPr>
        <w:t>投标无效</w:t>
      </w:r>
      <w:r>
        <w:rPr>
          <w:rFonts w:hint="eastAsia"/>
          <w:b/>
          <w:sz w:val="24"/>
        </w:rPr>
        <w:t>，</w:t>
      </w:r>
      <w:r>
        <w:rPr>
          <w:rFonts w:hint="eastAsia"/>
          <w:sz w:val="24"/>
        </w:rPr>
        <w:t>参选人将独立承担相应的风险。</w:t>
      </w:r>
    </w:p>
    <w:p w14:paraId="0D7D421D">
      <w:pPr>
        <w:numPr>
          <w:ilvl w:val="0"/>
          <w:numId w:val="14"/>
        </w:numPr>
        <w:tabs>
          <w:tab w:val="left" w:pos="1080"/>
          <w:tab w:val="left" w:pos="2014"/>
        </w:tabs>
        <w:snapToGrid w:val="0"/>
        <w:spacing w:line="360" w:lineRule="auto"/>
        <w:ind w:left="357" w:hanging="357"/>
        <w:outlineLvl w:val="1"/>
        <w:rPr>
          <w:sz w:val="24"/>
        </w:rPr>
      </w:pPr>
      <w:r>
        <w:rPr>
          <w:sz w:val="24"/>
        </w:rPr>
        <w:t>对</w:t>
      </w:r>
      <w:r>
        <w:rPr>
          <w:rFonts w:hint="eastAsia"/>
          <w:sz w:val="24"/>
        </w:rPr>
        <w:t>比选文件</w:t>
      </w:r>
      <w:r>
        <w:rPr>
          <w:sz w:val="24"/>
        </w:rPr>
        <w:t>的澄清或修改</w:t>
      </w:r>
    </w:p>
    <w:p w14:paraId="3F4A320F">
      <w:pPr>
        <w:numPr>
          <w:ilvl w:val="1"/>
          <w:numId w:val="14"/>
        </w:numPr>
        <w:tabs>
          <w:tab w:val="left" w:pos="1080"/>
          <w:tab w:val="left" w:pos="1561"/>
          <w:tab w:val="left" w:pos="2014"/>
        </w:tabs>
        <w:snapToGrid w:val="0"/>
        <w:spacing w:line="360" w:lineRule="auto"/>
        <w:ind w:left="1080" w:hanging="720"/>
        <w:rPr>
          <w:sz w:val="24"/>
        </w:rPr>
      </w:pPr>
      <w:r>
        <w:rPr>
          <w:sz w:val="24"/>
        </w:rPr>
        <w:t>采购人或采购代理机构对已发出的</w:t>
      </w:r>
      <w:r>
        <w:rPr>
          <w:rFonts w:hint="eastAsia"/>
          <w:sz w:val="24"/>
        </w:rPr>
        <w:t>比选文件</w:t>
      </w:r>
      <w:r>
        <w:rPr>
          <w:sz w:val="24"/>
        </w:rPr>
        <w:t>进行必要澄清或者修改的，将在原公告发布媒体上发布更正公告，并以书面形式通知所有获取</w:t>
      </w:r>
      <w:r>
        <w:rPr>
          <w:rFonts w:hint="eastAsia"/>
          <w:sz w:val="24"/>
        </w:rPr>
        <w:t>比选文件</w:t>
      </w:r>
      <w:r>
        <w:rPr>
          <w:sz w:val="24"/>
        </w:rPr>
        <w:t>的潜在</w:t>
      </w:r>
      <w:r>
        <w:rPr>
          <w:rFonts w:hint="eastAsia"/>
          <w:sz w:val="24"/>
        </w:rPr>
        <w:t>参选人</w:t>
      </w:r>
      <w:r>
        <w:rPr>
          <w:sz w:val="24"/>
        </w:rPr>
        <w:t>。</w:t>
      </w:r>
    </w:p>
    <w:p w14:paraId="2A51ECC1">
      <w:pPr>
        <w:numPr>
          <w:ilvl w:val="1"/>
          <w:numId w:val="14"/>
        </w:numPr>
        <w:tabs>
          <w:tab w:val="left" w:pos="1080"/>
          <w:tab w:val="left" w:pos="1561"/>
          <w:tab w:val="left" w:pos="2014"/>
        </w:tabs>
        <w:snapToGrid w:val="0"/>
        <w:spacing w:line="360" w:lineRule="auto"/>
        <w:ind w:left="1080" w:hanging="720"/>
        <w:rPr>
          <w:sz w:val="24"/>
        </w:rPr>
      </w:pPr>
      <w:r>
        <w:rPr>
          <w:sz w:val="24"/>
        </w:rPr>
        <w:t>上述书面通知，按照获取</w:t>
      </w:r>
      <w:r>
        <w:rPr>
          <w:rFonts w:hint="eastAsia"/>
          <w:sz w:val="24"/>
        </w:rPr>
        <w:t>比选文件</w:t>
      </w:r>
      <w:r>
        <w:rPr>
          <w:sz w:val="24"/>
        </w:rPr>
        <w:t>的潜在</w:t>
      </w:r>
      <w:r>
        <w:rPr>
          <w:rFonts w:hint="eastAsia"/>
          <w:sz w:val="24"/>
        </w:rPr>
        <w:t>参选人</w:t>
      </w:r>
      <w:r>
        <w:rPr>
          <w:sz w:val="24"/>
        </w:rPr>
        <w:t>提供的联系方式发出，因提供的信息有误导致通知延迟或无法通知的，采购人或采购代理机构不承担责任。</w:t>
      </w:r>
    </w:p>
    <w:p w14:paraId="0AC37A1A">
      <w:pPr>
        <w:numPr>
          <w:ilvl w:val="1"/>
          <w:numId w:val="14"/>
        </w:numPr>
        <w:tabs>
          <w:tab w:val="left" w:pos="1080"/>
          <w:tab w:val="left" w:pos="1561"/>
          <w:tab w:val="left" w:pos="2014"/>
        </w:tabs>
        <w:snapToGrid w:val="0"/>
        <w:spacing w:line="360" w:lineRule="auto"/>
        <w:ind w:left="1080" w:hanging="720"/>
        <w:rPr>
          <w:sz w:val="24"/>
        </w:rPr>
      </w:pPr>
      <w:r>
        <w:rPr>
          <w:sz w:val="24"/>
        </w:rPr>
        <w:t>澄清或者修改的内容为</w:t>
      </w:r>
      <w:r>
        <w:rPr>
          <w:rFonts w:hint="eastAsia"/>
          <w:sz w:val="24"/>
        </w:rPr>
        <w:t>比选文件</w:t>
      </w:r>
      <w:r>
        <w:rPr>
          <w:sz w:val="24"/>
        </w:rPr>
        <w:t>的组成部分，并对所有获取</w:t>
      </w:r>
      <w:r>
        <w:rPr>
          <w:rFonts w:hint="eastAsia"/>
          <w:sz w:val="24"/>
        </w:rPr>
        <w:t>比选文件</w:t>
      </w:r>
      <w:r>
        <w:rPr>
          <w:sz w:val="24"/>
        </w:rPr>
        <w:t>的潜在</w:t>
      </w:r>
      <w:r>
        <w:rPr>
          <w:rFonts w:hint="eastAsia"/>
          <w:sz w:val="24"/>
        </w:rPr>
        <w:t>参选人</w:t>
      </w:r>
      <w:r>
        <w:rPr>
          <w:sz w:val="24"/>
        </w:rPr>
        <w:t>具有约束力。澄清或者修改的内容可能影响</w:t>
      </w:r>
      <w:r>
        <w:rPr>
          <w:rFonts w:hint="eastAsia"/>
          <w:sz w:val="24"/>
        </w:rPr>
        <w:t>响应文件</w:t>
      </w:r>
      <w:r>
        <w:rPr>
          <w:sz w:val="24"/>
        </w:rPr>
        <w:t>编制的，将在投标截止时间至少15日前，以书面形式通知所有获取</w:t>
      </w:r>
      <w:r>
        <w:rPr>
          <w:rFonts w:hint="eastAsia"/>
          <w:sz w:val="24"/>
        </w:rPr>
        <w:t>比选文件</w:t>
      </w:r>
      <w:r>
        <w:rPr>
          <w:sz w:val="24"/>
        </w:rPr>
        <w:t>的潜在</w:t>
      </w:r>
      <w:r>
        <w:rPr>
          <w:rFonts w:hint="eastAsia"/>
          <w:sz w:val="24"/>
        </w:rPr>
        <w:t>参选人</w:t>
      </w:r>
      <w:r>
        <w:rPr>
          <w:sz w:val="24"/>
        </w:rPr>
        <w:t>；不足15日的，将顺延提交</w:t>
      </w:r>
      <w:r>
        <w:rPr>
          <w:rFonts w:hint="eastAsia"/>
          <w:sz w:val="24"/>
        </w:rPr>
        <w:t>响应文件</w:t>
      </w:r>
      <w:r>
        <w:rPr>
          <w:sz w:val="24"/>
        </w:rPr>
        <w:t>的截止时间和开标时间。</w:t>
      </w:r>
    </w:p>
    <w:p w14:paraId="4EC039FC">
      <w:pPr>
        <w:numPr>
          <w:ilvl w:val="1"/>
          <w:numId w:val="14"/>
        </w:numPr>
        <w:tabs>
          <w:tab w:val="left" w:pos="1080"/>
          <w:tab w:val="left" w:pos="1561"/>
          <w:tab w:val="left" w:pos="2014"/>
        </w:tabs>
        <w:snapToGrid w:val="0"/>
        <w:spacing w:line="360" w:lineRule="auto"/>
        <w:ind w:left="1080" w:hanging="720"/>
        <w:rPr>
          <w:sz w:val="24"/>
        </w:rPr>
      </w:pPr>
      <w:r>
        <w:rPr>
          <w:rFonts w:hint="eastAsia"/>
          <w:sz w:val="24"/>
        </w:rPr>
        <w:t>参选人认为比选文件存在歧视性条款或不合理要求，应在规定时间内一次性全部提出。</w:t>
      </w:r>
    </w:p>
    <w:p w14:paraId="56F960BF">
      <w:pPr>
        <w:tabs>
          <w:tab w:val="left" w:pos="1080"/>
          <w:tab w:val="left" w:pos="1561"/>
        </w:tabs>
        <w:snapToGrid w:val="0"/>
        <w:spacing w:line="360" w:lineRule="auto"/>
        <w:ind w:left="1080"/>
        <w:rPr>
          <w:sz w:val="28"/>
        </w:rPr>
      </w:pPr>
      <w:bookmarkStart w:id="180" w:name="_Toc516367020"/>
      <w:bookmarkStart w:id="181" w:name="_Toc151193840"/>
      <w:bookmarkStart w:id="182" w:name="_Toc195842891"/>
      <w:bookmarkStart w:id="183" w:name="_Toc305158868"/>
      <w:bookmarkStart w:id="184" w:name="_Toc150480764"/>
      <w:bookmarkStart w:id="185" w:name="_Toc150774731"/>
      <w:bookmarkStart w:id="186" w:name="_Toc151193914"/>
      <w:bookmarkStart w:id="187" w:name="_Toc151193696"/>
      <w:bookmarkStart w:id="188" w:name="_Toc127151526"/>
      <w:bookmarkStart w:id="189" w:name="_Toc151193624"/>
      <w:bookmarkStart w:id="190" w:name="_Toc264969216"/>
      <w:bookmarkStart w:id="191" w:name="_Toc226965716"/>
      <w:bookmarkStart w:id="192" w:name="_Toc305158794"/>
      <w:bookmarkStart w:id="193" w:name="_Toc150509277"/>
      <w:bookmarkStart w:id="194" w:name="_Toc142311028"/>
      <w:bookmarkStart w:id="195" w:name="_Toc226965799"/>
      <w:bookmarkStart w:id="196" w:name="_Toc265228364"/>
      <w:bookmarkStart w:id="197" w:name="_Toc520356150"/>
      <w:bookmarkStart w:id="198" w:name="_Toc151190153"/>
      <w:bookmarkStart w:id="199" w:name="_Toc226337222"/>
      <w:bookmarkStart w:id="200" w:name="_Toc226309770"/>
      <w:bookmarkStart w:id="201" w:name="_Toc150774626"/>
      <w:bookmarkStart w:id="202" w:name="_Toc151193768"/>
    </w:p>
    <w:p w14:paraId="59445683">
      <w:pPr>
        <w:pStyle w:val="3"/>
        <w:spacing w:before="0" w:line="360" w:lineRule="auto"/>
        <w:rPr>
          <w:rFonts w:ascii="Times New Roman" w:hAnsi="Times New Roman" w:eastAsia="宋体"/>
          <w:sz w:val="28"/>
        </w:rPr>
      </w:pPr>
      <w:r>
        <w:rPr>
          <w:rFonts w:ascii="Times New Roman" w:hAnsi="Times New Roman" w:eastAsia="宋体"/>
          <w:sz w:val="28"/>
        </w:rPr>
        <w:t xml:space="preserve">三   </w:t>
      </w:r>
      <w:bookmarkEnd w:id="180"/>
      <w:r>
        <w:rPr>
          <w:rFonts w:hint="eastAsia" w:ascii="Times New Roman" w:hAnsi="Times New Roman" w:eastAsia="宋体"/>
          <w:sz w:val="28"/>
        </w:rPr>
        <w:t>响应文件</w:t>
      </w:r>
      <w:r>
        <w:rPr>
          <w:rFonts w:ascii="Times New Roman" w:hAnsi="Times New Roman" w:eastAsia="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00B2EAA">
      <w:pPr>
        <w:numPr>
          <w:ilvl w:val="0"/>
          <w:numId w:val="14"/>
        </w:numPr>
        <w:tabs>
          <w:tab w:val="left" w:pos="360"/>
        </w:tabs>
        <w:snapToGrid w:val="0"/>
        <w:spacing w:line="360" w:lineRule="auto"/>
        <w:ind w:left="357" w:hanging="357"/>
        <w:outlineLvl w:val="1"/>
        <w:rPr>
          <w:sz w:val="24"/>
        </w:rPr>
      </w:pPr>
      <w:bookmarkStart w:id="203" w:name="_Toc151193841"/>
      <w:bookmarkStart w:id="204" w:name="_Toc164229222"/>
      <w:bookmarkStart w:id="205" w:name="_Toc516367021"/>
      <w:bookmarkStart w:id="206" w:name="_Toc520356151"/>
      <w:bookmarkStart w:id="207" w:name="_Toc150480765"/>
      <w:bookmarkStart w:id="208" w:name="_Toc164608641"/>
      <w:bookmarkStart w:id="209" w:name="_Toc127151527"/>
      <w:bookmarkStart w:id="210" w:name="_Toc151193625"/>
      <w:bookmarkStart w:id="211" w:name="_Toc226337223"/>
      <w:bookmarkStart w:id="212" w:name="_Toc142311029"/>
      <w:bookmarkStart w:id="213" w:name="_Toc150774732"/>
      <w:bookmarkStart w:id="214" w:name="_Toc127151728"/>
      <w:bookmarkStart w:id="215" w:name="_Toc151193915"/>
      <w:bookmarkStart w:id="216" w:name="_Toc226309771"/>
      <w:bookmarkStart w:id="217" w:name="_Toc305158869"/>
      <w:bookmarkStart w:id="218" w:name="_Toc151193769"/>
      <w:bookmarkStart w:id="219" w:name="_Toc226965800"/>
      <w:bookmarkStart w:id="220" w:name="_Toc150774627"/>
      <w:bookmarkStart w:id="221" w:name="_Toc305158795"/>
      <w:bookmarkStart w:id="222" w:name="_Toc151193697"/>
      <w:bookmarkStart w:id="223" w:name="_Toc150509278"/>
      <w:bookmarkStart w:id="224" w:name="_Toc226965717"/>
      <w:bookmarkStart w:id="225" w:name="_Toc164351621"/>
      <w:bookmarkStart w:id="226" w:name="_Toc149720820"/>
      <w:bookmarkStart w:id="227" w:name="_Toc164229368"/>
      <w:bookmarkStart w:id="228" w:name="_Toc265228365"/>
      <w:bookmarkStart w:id="229" w:name="_Toc127161441"/>
      <w:bookmarkStart w:id="230" w:name="_Toc264969217"/>
      <w:bookmarkStart w:id="231" w:name="_Toc195842892"/>
      <w:bookmarkStart w:id="232" w:name="_Toc151190154"/>
      <w:bookmarkStart w:id="233" w:name="_Toc164608796"/>
      <w:r>
        <w:rPr>
          <w:sz w:val="24"/>
        </w:rPr>
        <w:t>投标范围、</w:t>
      </w:r>
      <w:r>
        <w:rPr>
          <w:rFonts w:hint="eastAsia"/>
          <w:sz w:val="24"/>
        </w:rPr>
        <w:t>响应文件</w:t>
      </w:r>
      <w:r>
        <w:rPr>
          <w:sz w:val="24"/>
        </w:rPr>
        <w:t>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及投标语言</w:t>
      </w:r>
    </w:p>
    <w:p w14:paraId="6E68B562">
      <w:pPr>
        <w:numPr>
          <w:ilvl w:val="1"/>
          <w:numId w:val="14"/>
        </w:numPr>
        <w:tabs>
          <w:tab w:val="left" w:pos="1080"/>
          <w:tab w:val="left" w:pos="2014"/>
        </w:tabs>
        <w:snapToGrid w:val="0"/>
        <w:spacing w:line="360" w:lineRule="auto"/>
        <w:ind w:left="1080" w:hanging="720"/>
        <w:rPr>
          <w:sz w:val="24"/>
        </w:rPr>
      </w:pPr>
      <w:r>
        <w:rPr>
          <w:sz w:val="24"/>
        </w:rPr>
        <w:t>本项目如划分采购包，</w:t>
      </w:r>
      <w:r>
        <w:rPr>
          <w:rFonts w:hint="eastAsia"/>
          <w:sz w:val="24"/>
        </w:rPr>
        <w:t>参选人</w:t>
      </w:r>
      <w:r>
        <w:rPr>
          <w:sz w:val="24"/>
        </w:rPr>
        <w:t>可以对本项目的其中一个采购包进行投标，也可同时对多个采购包进行投标。</w:t>
      </w:r>
      <w:r>
        <w:rPr>
          <w:rFonts w:hint="eastAsia"/>
          <w:sz w:val="24"/>
        </w:rPr>
        <w:t>参选人</w:t>
      </w:r>
      <w:r>
        <w:rPr>
          <w:sz w:val="24"/>
        </w:rPr>
        <w:t>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513B9DDE">
      <w:pPr>
        <w:numPr>
          <w:ilvl w:val="1"/>
          <w:numId w:val="14"/>
        </w:numPr>
        <w:tabs>
          <w:tab w:val="left" w:pos="1080"/>
          <w:tab w:val="left" w:pos="2014"/>
        </w:tabs>
        <w:snapToGrid w:val="0"/>
        <w:spacing w:line="360" w:lineRule="auto"/>
        <w:ind w:left="1080" w:hanging="720"/>
        <w:rPr>
          <w:sz w:val="24"/>
        </w:rPr>
      </w:pPr>
      <w:r>
        <w:rPr>
          <w:sz w:val="24"/>
        </w:rPr>
        <w:t>除</w:t>
      </w:r>
      <w:r>
        <w:rPr>
          <w:rFonts w:hint="eastAsia"/>
          <w:sz w:val="24"/>
        </w:rPr>
        <w:t>比选文件</w:t>
      </w:r>
      <w:r>
        <w:rPr>
          <w:sz w:val="24"/>
        </w:rPr>
        <w:t>有特殊要求外，本项目投标所使用的计量单位，应采用中华人民共和国法定计量单位。</w:t>
      </w:r>
    </w:p>
    <w:p w14:paraId="464F5EB1">
      <w:pPr>
        <w:numPr>
          <w:ilvl w:val="1"/>
          <w:numId w:val="14"/>
        </w:numPr>
        <w:tabs>
          <w:tab w:val="left" w:pos="1080"/>
          <w:tab w:val="left" w:pos="2014"/>
        </w:tabs>
        <w:snapToGrid w:val="0"/>
        <w:spacing w:line="360" w:lineRule="auto"/>
        <w:ind w:left="1080" w:hanging="720"/>
        <w:rPr>
          <w:sz w:val="24"/>
        </w:rPr>
      </w:pPr>
      <w:r>
        <w:rPr>
          <w:sz w:val="24"/>
        </w:rPr>
        <w:t>除专用术语外，</w:t>
      </w:r>
      <w:r>
        <w:rPr>
          <w:rFonts w:hint="eastAsia"/>
          <w:sz w:val="24"/>
        </w:rPr>
        <w:t>响应文件</w:t>
      </w:r>
      <w:r>
        <w:rPr>
          <w:sz w:val="24"/>
        </w:rPr>
        <w:t>及来往函电均应使用中文书写。必要时专用术语应附有中文解释。</w:t>
      </w:r>
      <w:r>
        <w:rPr>
          <w:rFonts w:hint="eastAsia"/>
          <w:sz w:val="24"/>
        </w:rPr>
        <w:t>参选人</w:t>
      </w:r>
      <w:r>
        <w:rPr>
          <w:sz w:val="24"/>
        </w:rPr>
        <w:t>提交的支持资料和已印制的文献可以用外文，但相应内容应附有中文翻译本，在解释</w:t>
      </w:r>
      <w:r>
        <w:rPr>
          <w:rFonts w:hint="eastAsia"/>
          <w:sz w:val="24"/>
        </w:rPr>
        <w:t>响应文件</w:t>
      </w:r>
      <w:r>
        <w:rPr>
          <w:sz w:val="24"/>
        </w:rPr>
        <w:t>时以中文翻译本为准。未附中文翻译本或翻译本中文内容明显与外文内容不一致的，其不利后果由</w:t>
      </w:r>
      <w:r>
        <w:rPr>
          <w:rFonts w:hint="eastAsia"/>
          <w:sz w:val="24"/>
        </w:rPr>
        <w:t>参选人</w:t>
      </w:r>
      <w:r>
        <w:rPr>
          <w:sz w:val="24"/>
        </w:rPr>
        <w:t>自行承担。</w:t>
      </w:r>
    </w:p>
    <w:p w14:paraId="4F86CE81">
      <w:pPr>
        <w:numPr>
          <w:ilvl w:val="0"/>
          <w:numId w:val="14"/>
        </w:numPr>
        <w:tabs>
          <w:tab w:val="left" w:pos="360"/>
        </w:tabs>
        <w:snapToGrid w:val="0"/>
        <w:spacing w:line="360" w:lineRule="auto"/>
        <w:ind w:left="357" w:hanging="357"/>
        <w:outlineLvl w:val="1"/>
        <w:rPr>
          <w:sz w:val="24"/>
        </w:rPr>
      </w:pPr>
      <w:bookmarkStart w:id="234" w:name="_Toc164351622"/>
      <w:bookmarkStart w:id="235" w:name="_Toc164229223"/>
      <w:bookmarkStart w:id="236" w:name="_Toc150509279"/>
      <w:bookmarkStart w:id="237" w:name="_Toc151193842"/>
      <w:bookmarkStart w:id="238" w:name="_Toc164608797"/>
      <w:bookmarkStart w:id="239" w:name="_Toc142311030"/>
      <w:bookmarkStart w:id="240" w:name="_Toc305158870"/>
      <w:bookmarkStart w:id="241" w:name="_Toc127151528"/>
      <w:bookmarkStart w:id="242" w:name="_Toc195842893"/>
      <w:bookmarkStart w:id="243" w:name="_Toc151193770"/>
      <w:bookmarkStart w:id="244" w:name="_Toc150774733"/>
      <w:bookmarkStart w:id="245" w:name="_Toc151193698"/>
      <w:bookmarkStart w:id="246" w:name="_Toc265228366"/>
      <w:bookmarkStart w:id="247" w:name="_Toc226965801"/>
      <w:bookmarkStart w:id="248" w:name="_Toc127161442"/>
      <w:bookmarkStart w:id="249" w:name="_Toc305158796"/>
      <w:bookmarkStart w:id="250" w:name="_Toc520356152"/>
      <w:bookmarkStart w:id="251" w:name="_Toc226337224"/>
      <w:bookmarkStart w:id="252" w:name="_Toc127151729"/>
      <w:bookmarkStart w:id="253" w:name="_Toc226965718"/>
      <w:bookmarkStart w:id="254" w:name="_Toc151190155"/>
      <w:bookmarkStart w:id="255" w:name="_Toc226309772"/>
      <w:bookmarkStart w:id="256" w:name="_Toc151193626"/>
      <w:bookmarkStart w:id="257" w:name="_Toc164608642"/>
      <w:bookmarkStart w:id="258" w:name="_Toc149720821"/>
      <w:bookmarkStart w:id="259" w:name="_Toc150774628"/>
      <w:bookmarkStart w:id="260" w:name="_Toc264969218"/>
      <w:bookmarkStart w:id="261" w:name="_Toc164229369"/>
      <w:bookmarkStart w:id="262" w:name="_Toc151193916"/>
      <w:bookmarkStart w:id="263" w:name="_Toc150480766"/>
      <w:r>
        <w:rPr>
          <w:rFonts w:hint="eastAsia"/>
          <w:sz w:val="24"/>
        </w:rPr>
        <w:t>响应文件</w:t>
      </w:r>
      <w:r>
        <w:rPr>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4AF4469">
      <w:pPr>
        <w:numPr>
          <w:ilvl w:val="1"/>
          <w:numId w:val="14"/>
        </w:numPr>
        <w:tabs>
          <w:tab w:val="left" w:pos="1080"/>
          <w:tab w:val="left" w:pos="2014"/>
        </w:tabs>
        <w:snapToGrid w:val="0"/>
        <w:spacing w:line="360" w:lineRule="auto"/>
        <w:ind w:left="1077" w:hanging="720"/>
        <w:rPr>
          <w:sz w:val="24"/>
        </w:rPr>
      </w:pPr>
      <w:bookmarkStart w:id="264" w:name="_Ref467052588"/>
      <w:r>
        <w:rPr>
          <w:rFonts w:hint="eastAsia"/>
          <w:sz w:val="24"/>
        </w:rPr>
        <w:t>参选人</w:t>
      </w:r>
      <w:r>
        <w:rPr>
          <w:sz w:val="24"/>
        </w:rPr>
        <w:t>应当按照</w:t>
      </w:r>
      <w:r>
        <w:rPr>
          <w:rFonts w:hint="eastAsia"/>
          <w:sz w:val="24"/>
        </w:rPr>
        <w:t>比选文件</w:t>
      </w:r>
      <w:r>
        <w:rPr>
          <w:sz w:val="24"/>
        </w:rPr>
        <w:t>的要求编制</w:t>
      </w:r>
      <w:r>
        <w:rPr>
          <w:rFonts w:hint="eastAsia"/>
          <w:sz w:val="24"/>
        </w:rPr>
        <w:t>响应文件</w:t>
      </w:r>
      <w:r>
        <w:rPr>
          <w:sz w:val="24"/>
        </w:rPr>
        <w:t>。</w:t>
      </w:r>
      <w:r>
        <w:rPr>
          <w:rFonts w:hint="eastAsia"/>
          <w:sz w:val="24"/>
        </w:rPr>
        <w:t>响应文件</w:t>
      </w:r>
      <w:r>
        <w:rPr>
          <w:sz w:val="24"/>
        </w:rPr>
        <w:t>的部分格式要求，见第七章《</w:t>
      </w:r>
      <w:r>
        <w:rPr>
          <w:rFonts w:hint="eastAsia"/>
          <w:sz w:val="24"/>
        </w:rPr>
        <w:t>响应文件</w:t>
      </w:r>
      <w:r>
        <w:rPr>
          <w:sz w:val="24"/>
        </w:rPr>
        <w:t>格式》。</w:t>
      </w:r>
    </w:p>
    <w:p w14:paraId="3EC299C7">
      <w:pPr>
        <w:numPr>
          <w:ilvl w:val="1"/>
          <w:numId w:val="14"/>
        </w:numPr>
        <w:tabs>
          <w:tab w:val="left" w:pos="1080"/>
          <w:tab w:val="left" w:pos="2014"/>
        </w:tabs>
        <w:snapToGrid w:val="0"/>
        <w:spacing w:line="360" w:lineRule="auto"/>
        <w:ind w:left="1077" w:hanging="720"/>
        <w:rPr>
          <w:sz w:val="24"/>
        </w:rPr>
      </w:pPr>
      <w:r>
        <w:rPr>
          <w:kern w:val="0"/>
          <w:sz w:val="24"/>
        </w:rPr>
        <w:t>对于</w:t>
      </w:r>
      <w:r>
        <w:rPr>
          <w:rFonts w:hint="eastAsia"/>
          <w:kern w:val="0"/>
          <w:sz w:val="24"/>
        </w:rPr>
        <w:t>比选文件中选</w:t>
      </w:r>
      <w:r>
        <w:rPr>
          <w:kern w:val="0"/>
          <w:sz w:val="24"/>
        </w:rPr>
        <w:t>记了“实质性格式”文件的，</w:t>
      </w:r>
      <w:r>
        <w:rPr>
          <w:rFonts w:hint="eastAsia"/>
          <w:sz w:val="24"/>
        </w:rPr>
        <w:t>参选人</w:t>
      </w:r>
      <w:r>
        <w:rPr>
          <w:sz w:val="24"/>
        </w:rPr>
        <w:t>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w:t>
      </w:r>
      <w:r>
        <w:rPr>
          <w:rFonts w:hint="eastAsia"/>
          <w:kern w:val="0"/>
          <w:sz w:val="24"/>
        </w:rPr>
        <w:t>比选文件</w:t>
      </w:r>
      <w:r>
        <w:rPr>
          <w:kern w:val="0"/>
          <w:sz w:val="24"/>
        </w:rPr>
        <w:t>未提供格式的内容，可由</w:t>
      </w:r>
      <w:r>
        <w:rPr>
          <w:rFonts w:hint="eastAsia"/>
          <w:kern w:val="0"/>
          <w:sz w:val="24"/>
        </w:rPr>
        <w:t>参选人</w:t>
      </w:r>
      <w:r>
        <w:rPr>
          <w:kern w:val="0"/>
          <w:sz w:val="24"/>
        </w:rPr>
        <w:t>自行编写。</w:t>
      </w:r>
    </w:p>
    <w:p w14:paraId="24A2B8AF">
      <w:pPr>
        <w:numPr>
          <w:ilvl w:val="1"/>
          <w:numId w:val="14"/>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7EAF79F5">
      <w:pPr>
        <w:numPr>
          <w:ilvl w:val="1"/>
          <w:numId w:val="14"/>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w:t>
      </w:r>
      <w:r>
        <w:rPr>
          <w:rFonts w:hint="eastAsia"/>
          <w:sz w:val="24"/>
        </w:rPr>
        <w:t>参选人</w:t>
      </w:r>
      <w:r>
        <w:rPr>
          <w:sz w:val="24"/>
        </w:rPr>
        <w:t>应当按具体要求提供证明文件。</w:t>
      </w:r>
    </w:p>
    <w:p w14:paraId="51476DC0">
      <w:pPr>
        <w:numPr>
          <w:ilvl w:val="1"/>
          <w:numId w:val="14"/>
        </w:numPr>
        <w:tabs>
          <w:tab w:val="left" w:pos="1080"/>
          <w:tab w:val="left" w:pos="2014"/>
        </w:tabs>
        <w:snapToGrid w:val="0"/>
        <w:spacing w:line="360" w:lineRule="auto"/>
        <w:ind w:left="1077" w:hanging="720"/>
        <w:rPr>
          <w:sz w:val="24"/>
        </w:rPr>
      </w:pPr>
      <w:r>
        <w:rPr>
          <w:rFonts w:hint="eastAsia"/>
          <w:sz w:val="24"/>
        </w:rPr>
        <w:t>参选人</w:t>
      </w:r>
      <w:r>
        <w:rPr>
          <w:sz w:val="24"/>
        </w:rPr>
        <w:t>认为应附的其他材料。</w:t>
      </w:r>
      <w:bookmarkEnd w:id="264"/>
    </w:p>
    <w:p w14:paraId="1E67C734">
      <w:pPr>
        <w:numPr>
          <w:ilvl w:val="0"/>
          <w:numId w:val="14"/>
        </w:numPr>
        <w:tabs>
          <w:tab w:val="left" w:pos="360"/>
        </w:tabs>
        <w:snapToGrid w:val="0"/>
        <w:spacing w:line="360" w:lineRule="auto"/>
        <w:ind w:left="357" w:hanging="357"/>
        <w:outlineLvl w:val="1"/>
        <w:rPr>
          <w:sz w:val="24"/>
        </w:rPr>
      </w:pPr>
      <w:r>
        <w:rPr>
          <w:rFonts w:hint="eastAsia"/>
          <w:sz w:val="24"/>
        </w:rPr>
        <w:t>比选报价</w:t>
      </w:r>
    </w:p>
    <w:p w14:paraId="4A8EF0E7">
      <w:pPr>
        <w:numPr>
          <w:ilvl w:val="1"/>
          <w:numId w:val="14"/>
        </w:numPr>
        <w:tabs>
          <w:tab w:val="left" w:pos="1080"/>
          <w:tab w:val="left" w:pos="2014"/>
        </w:tabs>
        <w:snapToGrid w:val="0"/>
        <w:spacing w:line="360" w:lineRule="auto"/>
        <w:ind w:left="1077" w:hanging="720"/>
        <w:rPr>
          <w:sz w:val="24"/>
        </w:rPr>
      </w:pPr>
      <w:r>
        <w:rPr>
          <w:sz w:val="24"/>
        </w:rPr>
        <w:t>所有投标均以人民币报价。</w:t>
      </w:r>
    </w:p>
    <w:p w14:paraId="51D8021C">
      <w:pPr>
        <w:numPr>
          <w:ilvl w:val="1"/>
          <w:numId w:val="14"/>
        </w:numPr>
        <w:tabs>
          <w:tab w:val="left" w:pos="1080"/>
          <w:tab w:val="left" w:pos="2014"/>
        </w:tabs>
        <w:snapToGrid w:val="0"/>
        <w:spacing w:line="360" w:lineRule="auto"/>
        <w:ind w:left="1077" w:hanging="720"/>
        <w:rPr>
          <w:sz w:val="24"/>
        </w:rPr>
      </w:pPr>
      <w:r>
        <w:rPr>
          <w:rFonts w:hint="eastAsia"/>
          <w:sz w:val="24"/>
        </w:rPr>
        <w:t>参选人</w:t>
      </w:r>
      <w:r>
        <w:rPr>
          <w:sz w:val="24"/>
        </w:rPr>
        <w:t>的报价应包括为完成本项目所发生的一切费用和税费，采购人将不再支付报价以外的任何费用。</w:t>
      </w:r>
      <w:r>
        <w:rPr>
          <w:rFonts w:hint="eastAsia"/>
          <w:sz w:val="24"/>
        </w:rPr>
        <w:t>参选人的报价应包括但不限于下列内容，《参选人须知资料表》中有特殊规定的，从其规定。</w:t>
      </w:r>
    </w:p>
    <w:p w14:paraId="76A507B1">
      <w:pPr>
        <w:numPr>
          <w:ilvl w:val="2"/>
          <w:numId w:val="14"/>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sz w:val="24"/>
        </w:rPr>
        <w:t>比选文件</w:t>
      </w:r>
      <w:r>
        <w:rPr>
          <w:sz w:val="24"/>
        </w:rPr>
        <w:t>要求完成本项目的全部相关服务费用；</w:t>
      </w:r>
    </w:p>
    <w:p w14:paraId="67D111A2">
      <w:pPr>
        <w:numPr>
          <w:ilvl w:val="2"/>
          <w:numId w:val="14"/>
        </w:numPr>
        <w:snapToGrid w:val="0"/>
        <w:spacing w:line="360" w:lineRule="auto"/>
        <w:rPr>
          <w:sz w:val="24"/>
        </w:rPr>
      </w:pPr>
      <w:r>
        <w:rPr>
          <w:sz w:val="24"/>
        </w:rPr>
        <w:t>按照</w:t>
      </w:r>
      <w:r>
        <w:rPr>
          <w:rFonts w:hint="eastAsia"/>
          <w:sz w:val="24"/>
        </w:rPr>
        <w:t>比选文件</w:t>
      </w:r>
      <w:r>
        <w:rPr>
          <w:sz w:val="24"/>
        </w:rPr>
        <w:t xml:space="preserve">要求完成本项目的全部相关服务费用。 </w:t>
      </w:r>
    </w:p>
    <w:p w14:paraId="6B5C1081">
      <w:pPr>
        <w:numPr>
          <w:ilvl w:val="1"/>
          <w:numId w:val="14"/>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47AD7FF">
      <w:pPr>
        <w:numPr>
          <w:ilvl w:val="1"/>
          <w:numId w:val="14"/>
        </w:numPr>
        <w:tabs>
          <w:tab w:val="left" w:pos="1080"/>
          <w:tab w:val="left" w:pos="2014"/>
        </w:tabs>
        <w:snapToGrid w:val="0"/>
        <w:spacing w:line="360" w:lineRule="auto"/>
        <w:ind w:left="1080" w:hanging="720"/>
        <w:rPr>
          <w:sz w:val="24"/>
        </w:rPr>
      </w:pPr>
      <w:r>
        <w:rPr>
          <w:rFonts w:hint="eastAsia"/>
          <w:sz w:val="24"/>
        </w:rPr>
        <w:t>参选人</w:t>
      </w:r>
      <w:r>
        <w:rPr>
          <w:sz w:val="24"/>
        </w:rPr>
        <w:t>不能提供任何有选择性或可调整的报价，否则其</w:t>
      </w:r>
      <w:r>
        <w:rPr>
          <w:b/>
          <w:sz w:val="24"/>
        </w:rPr>
        <w:t>投标无效</w:t>
      </w:r>
      <w:r>
        <w:rPr>
          <w:sz w:val="24"/>
        </w:rPr>
        <w:t>。</w:t>
      </w:r>
    </w:p>
    <w:p w14:paraId="7AFDCF02">
      <w:pPr>
        <w:numPr>
          <w:ilvl w:val="0"/>
          <w:numId w:val="14"/>
        </w:numPr>
        <w:tabs>
          <w:tab w:val="left" w:pos="360"/>
        </w:tabs>
        <w:snapToGrid w:val="0"/>
        <w:spacing w:line="360" w:lineRule="auto"/>
        <w:ind w:left="357" w:hanging="357"/>
        <w:outlineLvl w:val="1"/>
        <w:rPr>
          <w:sz w:val="24"/>
        </w:rPr>
      </w:pPr>
      <w:r>
        <w:rPr>
          <w:rFonts w:hint="eastAsia"/>
          <w:sz w:val="24"/>
        </w:rPr>
        <w:t>比选保证金</w:t>
      </w:r>
    </w:p>
    <w:p w14:paraId="69004A4D">
      <w:pPr>
        <w:numPr>
          <w:ilvl w:val="1"/>
          <w:numId w:val="14"/>
        </w:numPr>
        <w:tabs>
          <w:tab w:val="left" w:pos="1080"/>
          <w:tab w:val="left" w:pos="2014"/>
        </w:tabs>
        <w:snapToGrid w:val="0"/>
        <w:spacing w:line="360" w:lineRule="auto"/>
        <w:ind w:left="1077" w:hanging="720"/>
        <w:rPr>
          <w:sz w:val="24"/>
        </w:rPr>
      </w:pPr>
      <w:bookmarkStart w:id="265" w:name="_Ref467306302"/>
      <w:r>
        <w:rPr>
          <w:rFonts w:hint="eastAsia"/>
          <w:sz w:val="24"/>
        </w:rPr>
        <w:t>参选人</w:t>
      </w:r>
      <w:r>
        <w:rPr>
          <w:sz w:val="24"/>
        </w:rPr>
        <w:t>应按《</w:t>
      </w:r>
      <w:r>
        <w:rPr>
          <w:rFonts w:hint="eastAsia"/>
          <w:sz w:val="24"/>
        </w:rPr>
        <w:t>参选人</w:t>
      </w:r>
      <w:r>
        <w:rPr>
          <w:sz w:val="24"/>
        </w:rPr>
        <w:t>须知资料表》中规定的金额及要求交纳</w:t>
      </w:r>
      <w:bookmarkEnd w:id="265"/>
      <w:r>
        <w:rPr>
          <w:rFonts w:hint="eastAsia"/>
          <w:sz w:val="24"/>
        </w:rPr>
        <w:t>比选保证金</w:t>
      </w:r>
      <w:r>
        <w:rPr>
          <w:sz w:val="24"/>
        </w:rPr>
        <w:t>，并作为其投标的一部分。</w:t>
      </w:r>
    </w:p>
    <w:p w14:paraId="55E87E5A">
      <w:pPr>
        <w:numPr>
          <w:ilvl w:val="1"/>
          <w:numId w:val="14"/>
        </w:numPr>
        <w:tabs>
          <w:tab w:val="left" w:pos="1080"/>
          <w:tab w:val="left" w:pos="2014"/>
        </w:tabs>
        <w:snapToGrid w:val="0"/>
        <w:spacing w:line="360" w:lineRule="auto"/>
        <w:ind w:left="1077" w:hanging="720"/>
        <w:rPr>
          <w:sz w:val="24"/>
        </w:rPr>
      </w:pPr>
      <w:r>
        <w:rPr>
          <w:sz w:val="24"/>
        </w:rPr>
        <w:t>交纳</w:t>
      </w:r>
      <w:r>
        <w:rPr>
          <w:rFonts w:hint="eastAsia"/>
          <w:sz w:val="24"/>
        </w:rPr>
        <w:t>比选保证金</w:t>
      </w:r>
      <w:r>
        <w:rPr>
          <w:sz w:val="24"/>
        </w:rPr>
        <w:t>可采用的形式：政府采购法律法规接受的支票、汇票、本票、网上银行支付或者金融机构、担保机构出具的保函等非现金形式。</w:t>
      </w:r>
    </w:p>
    <w:p w14:paraId="419A7C91">
      <w:pPr>
        <w:numPr>
          <w:ilvl w:val="1"/>
          <w:numId w:val="14"/>
        </w:numPr>
        <w:tabs>
          <w:tab w:val="left" w:pos="1080"/>
          <w:tab w:val="left" w:pos="2014"/>
        </w:tabs>
        <w:snapToGrid w:val="0"/>
        <w:spacing w:line="360" w:lineRule="auto"/>
        <w:ind w:left="1077" w:hanging="720"/>
        <w:rPr>
          <w:sz w:val="24"/>
        </w:rPr>
      </w:pPr>
      <w:r>
        <w:rPr>
          <w:rFonts w:hint="eastAsia"/>
          <w:sz w:val="24"/>
        </w:rPr>
        <w:t>比选保证金</w:t>
      </w:r>
      <w:r>
        <w:rPr>
          <w:sz w:val="24"/>
        </w:rPr>
        <w:t>到账（保函提交）截止时间同投标截止时间。以支票、汇票、本票、网上银行支付等形式提交</w:t>
      </w:r>
      <w:r>
        <w:rPr>
          <w:rFonts w:hint="eastAsia"/>
          <w:sz w:val="24"/>
        </w:rPr>
        <w:t>比选保证金</w:t>
      </w:r>
      <w:r>
        <w:rPr>
          <w:sz w:val="24"/>
        </w:rPr>
        <w:t>的，应在投标截止时间前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比选保证金</w:t>
      </w:r>
      <w:r>
        <w:rPr>
          <w:sz w:val="24"/>
        </w:rPr>
        <w:t>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2CD56D93">
      <w:pPr>
        <w:numPr>
          <w:ilvl w:val="1"/>
          <w:numId w:val="14"/>
        </w:numPr>
        <w:tabs>
          <w:tab w:val="left" w:pos="1080"/>
          <w:tab w:val="left" w:pos="2014"/>
        </w:tabs>
        <w:snapToGrid w:val="0"/>
        <w:spacing w:line="360" w:lineRule="auto"/>
        <w:ind w:left="1077" w:hanging="720"/>
        <w:rPr>
          <w:sz w:val="24"/>
        </w:rPr>
      </w:pPr>
      <w:r>
        <w:rPr>
          <w:rFonts w:hint="eastAsia"/>
          <w:sz w:val="24"/>
        </w:rPr>
        <w:t>比选保证金</w:t>
      </w:r>
      <w:r>
        <w:rPr>
          <w:sz w:val="24"/>
        </w:rPr>
        <w:t>（保函）有效期同</w:t>
      </w:r>
      <w:r>
        <w:rPr>
          <w:rFonts w:hint="eastAsia"/>
          <w:sz w:val="24"/>
        </w:rPr>
        <w:t>比选有效期</w:t>
      </w:r>
      <w:r>
        <w:rPr>
          <w:sz w:val="24"/>
        </w:rPr>
        <w:t>。</w:t>
      </w:r>
    </w:p>
    <w:p w14:paraId="51AE5845">
      <w:pPr>
        <w:numPr>
          <w:ilvl w:val="1"/>
          <w:numId w:val="14"/>
        </w:numPr>
        <w:tabs>
          <w:tab w:val="left" w:pos="1080"/>
          <w:tab w:val="left" w:pos="2014"/>
        </w:tabs>
        <w:snapToGrid w:val="0"/>
        <w:spacing w:line="360" w:lineRule="auto"/>
        <w:ind w:left="1077" w:hanging="720"/>
        <w:rPr>
          <w:sz w:val="24"/>
        </w:rPr>
      </w:pPr>
      <w:r>
        <w:rPr>
          <w:sz w:val="24"/>
        </w:rPr>
        <w:t>联合体投标的，可以由联合体中的一方或者共同提交</w:t>
      </w:r>
      <w:r>
        <w:rPr>
          <w:rFonts w:hint="eastAsia"/>
          <w:sz w:val="24"/>
        </w:rPr>
        <w:t>比选保证金</w:t>
      </w:r>
      <w:r>
        <w:rPr>
          <w:sz w:val="24"/>
        </w:rPr>
        <w:t>，以一方名义提交</w:t>
      </w:r>
      <w:r>
        <w:rPr>
          <w:rFonts w:hint="eastAsia"/>
          <w:sz w:val="24"/>
        </w:rPr>
        <w:t>比选保证金</w:t>
      </w:r>
      <w:r>
        <w:rPr>
          <w:sz w:val="24"/>
        </w:rPr>
        <w:t>的，对联合体各方均具有约束力。</w:t>
      </w:r>
    </w:p>
    <w:p w14:paraId="725BE5ED">
      <w:pPr>
        <w:numPr>
          <w:ilvl w:val="1"/>
          <w:numId w:val="14"/>
        </w:numPr>
        <w:tabs>
          <w:tab w:val="left" w:pos="1080"/>
          <w:tab w:val="left" w:pos="2014"/>
        </w:tabs>
        <w:snapToGrid w:val="0"/>
        <w:spacing w:line="360" w:lineRule="auto"/>
        <w:ind w:left="1077" w:hanging="720"/>
        <w:rPr>
          <w:sz w:val="24"/>
        </w:rPr>
      </w:pPr>
      <w:r>
        <w:rPr>
          <w:sz w:val="24"/>
        </w:rPr>
        <w:t>采购人、采购代理机构将及时退还</w:t>
      </w:r>
      <w:r>
        <w:rPr>
          <w:rFonts w:hint="eastAsia"/>
          <w:sz w:val="24"/>
        </w:rPr>
        <w:t>参选人</w:t>
      </w:r>
      <w:r>
        <w:rPr>
          <w:sz w:val="24"/>
        </w:rPr>
        <w:t>的</w:t>
      </w:r>
      <w:r>
        <w:rPr>
          <w:rFonts w:hint="eastAsia"/>
          <w:sz w:val="24"/>
        </w:rPr>
        <w:t>比选保证金</w:t>
      </w:r>
      <w:r>
        <w:rPr>
          <w:sz w:val="24"/>
        </w:rPr>
        <w:t>，采用银行保函、担保机构担保函等形式递交的</w:t>
      </w:r>
      <w:r>
        <w:rPr>
          <w:rFonts w:hint="eastAsia"/>
          <w:sz w:val="24"/>
        </w:rPr>
        <w:t>比选保证金</w:t>
      </w:r>
      <w:r>
        <w:rPr>
          <w:sz w:val="24"/>
        </w:rPr>
        <w:t>，经供应商同意后采购人、采购代理机构可以不再退还，但因</w:t>
      </w:r>
      <w:r>
        <w:rPr>
          <w:rFonts w:hint="eastAsia"/>
          <w:sz w:val="24"/>
        </w:rPr>
        <w:t>参选人</w:t>
      </w:r>
      <w:r>
        <w:rPr>
          <w:sz w:val="24"/>
        </w:rPr>
        <w:t>自身原因导致无法及时退还的除外：</w:t>
      </w:r>
    </w:p>
    <w:p w14:paraId="2C00D569">
      <w:pPr>
        <w:numPr>
          <w:ilvl w:val="2"/>
          <w:numId w:val="14"/>
        </w:numPr>
        <w:snapToGrid w:val="0"/>
        <w:spacing w:line="360" w:lineRule="auto"/>
        <w:rPr>
          <w:sz w:val="24"/>
        </w:rPr>
      </w:pPr>
      <w:r>
        <w:rPr>
          <w:rFonts w:hint="eastAsia"/>
          <w:sz w:val="24"/>
        </w:rPr>
        <w:t>参选人</w:t>
      </w:r>
      <w:r>
        <w:rPr>
          <w:sz w:val="24"/>
        </w:rPr>
        <w:t>在投标截止时间前撤回已提交的</w:t>
      </w:r>
      <w:r>
        <w:rPr>
          <w:rFonts w:hint="eastAsia"/>
          <w:sz w:val="24"/>
        </w:rPr>
        <w:t>响应文件</w:t>
      </w:r>
      <w:r>
        <w:rPr>
          <w:sz w:val="24"/>
        </w:rPr>
        <w:t>的，自收到</w:t>
      </w:r>
      <w:r>
        <w:rPr>
          <w:rFonts w:hint="eastAsia"/>
          <w:sz w:val="24"/>
        </w:rPr>
        <w:t>参选人</w:t>
      </w:r>
      <w:r>
        <w:rPr>
          <w:sz w:val="24"/>
        </w:rPr>
        <w:t>书面撤回通知之日起5个工作日内退还已收取的</w:t>
      </w:r>
      <w:r>
        <w:rPr>
          <w:rFonts w:hint="eastAsia"/>
          <w:sz w:val="24"/>
        </w:rPr>
        <w:t>比选保证金</w:t>
      </w:r>
      <w:r>
        <w:rPr>
          <w:sz w:val="24"/>
        </w:rPr>
        <w:t>；</w:t>
      </w:r>
    </w:p>
    <w:p w14:paraId="4FB92110">
      <w:pPr>
        <w:numPr>
          <w:ilvl w:val="2"/>
          <w:numId w:val="14"/>
        </w:numPr>
        <w:snapToGrid w:val="0"/>
        <w:spacing w:line="360" w:lineRule="auto"/>
        <w:rPr>
          <w:sz w:val="24"/>
        </w:rPr>
      </w:pPr>
      <w:r>
        <w:rPr>
          <w:rFonts w:hint="eastAsia"/>
          <w:sz w:val="24"/>
        </w:rPr>
        <w:t>中选</w:t>
      </w:r>
      <w:r>
        <w:rPr>
          <w:sz w:val="24"/>
        </w:rPr>
        <w:t>人的</w:t>
      </w:r>
      <w:r>
        <w:rPr>
          <w:rFonts w:hint="eastAsia"/>
          <w:sz w:val="24"/>
        </w:rPr>
        <w:t>比选保证金</w:t>
      </w:r>
      <w:r>
        <w:rPr>
          <w:sz w:val="24"/>
        </w:rPr>
        <w:t>，自采购合同签订之日起5个工作日内退还</w:t>
      </w:r>
      <w:r>
        <w:rPr>
          <w:rFonts w:hint="eastAsia"/>
          <w:sz w:val="24"/>
        </w:rPr>
        <w:t>中选</w:t>
      </w:r>
      <w:r>
        <w:rPr>
          <w:sz w:val="24"/>
        </w:rPr>
        <w:t>人；</w:t>
      </w:r>
    </w:p>
    <w:p w14:paraId="10E00E8E">
      <w:pPr>
        <w:numPr>
          <w:ilvl w:val="2"/>
          <w:numId w:val="14"/>
        </w:numPr>
        <w:snapToGrid w:val="0"/>
        <w:spacing w:line="360" w:lineRule="auto"/>
        <w:rPr>
          <w:sz w:val="24"/>
        </w:rPr>
      </w:pPr>
      <w:r>
        <w:rPr>
          <w:sz w:val="24"/>
        </w:rPr>
        <w:t>未</w:t>
      </w:r>
      <w:r>
        <w:rPr>
          <w:rFonts w:hint="eastAsia"/>
          <w:sz w:val="24"/>
        </w:rPr>
        <w:t>中选参选人</w:t>
      </w:r>
      <w:r>
        <w:rPr>
          <w:sz w:val="24"/>
        </w:rPr>
        <w:t>的</w:t>
      </w:r>
      <w:r>
        <w:rPr>
          <w:rFonts w:hint="eastAsia"/>
          <w:sz w:val="24"/>
        </w:rPr>
        <w:t>比选保证金</w:t>
      </w:r>
      <w:r>
        <w:rPr>
          <w:sz w:val="24"/>
        </w:rPr>
        <w:t>，自</w:t>
      </w:r>
      <w:r>
        <w:rPr>
          <w:rFonts w:hint="eastAsia"/>
          <w:sz w:val="24"/>
        </w:rPr>
        <w:t>中选</w:t>
      </w:r>
      <w:r>
        <w:rPr>
          <w:sz w:val="24"/>
        </w:rPr>
        <w:t>通知书发出之日起5个工作日内退还未</w:t>
      </w:r>
      <w:r>
        <w:rPr>
          <w:rFonts w:hint="eastAsia"/>
          <w:sz w:val="24"/>
        </w:rPr>
        <w:t>中选</w:t>
      </w:r>
      <w:r>
        <w:rPr>
          <w:sz w:val="24"/>
        </w:rPr>
        <w:t>人；</w:t>
      </w:r>
    </w:p>
    <w:p w14:paraId="76917C1F">
      <w:pPr>
        <w:numPr>
          <w:ilvl w:val="2"/>
          <w:numId w:val="14"/>
        </w:numPr>
        <w:snapToGrid w:val="0"/>
        <w:spacing w:line="360" w:lineRule="auto"/>
        <w:rPr>
          <w:sz w:val="24"/>
        </w:rPr>
      </w:pPr>
      <w:r>
        <w:rPr>
          <w:sz w:val="24"/>
        </w:rPr>
        <w:t>终止</w:t>
      </w:r>
      <w:r>
        <w:rPr>
          <w:rFonts w:hint="eastAsia"/>
          <w:sz w:val="24"/>
        </w:rPr>
        <w:t>比选</w:t>
      </w:r>
      <w:r>
        <w:rPr>
          <w:sz w:val="24"/>
        </w:rPr>
        <w:t>项目已经收取</w:t>
      </w:r>
      <w:r>
        <w:rPr>
          <w:rFonts w:hint="eastAsia"/>
          <w:sz w:val="24"/>
        </w:rPr>
        <w:t>比选保证金</w:t>
      </w:r>
      <w:r>
        <w:rPr>
          <w:sz w:val="24"/>
        </w:rPr>
        <w:t>的，自终止采购活动后5个工作日内退还已收取的</w:t>
      </w:r>
      <w:r>
        <w:rPr>
          <w:rFonts w:hint="eastAsia"/>
          <w:sz w:val="24"/>
        </w:rPr>
        <w:t>比选保证金</w:t>
      </w:r>
      <w:r>
        <w:rPr>
          <w:sz w:val="24"/>
        </w:rPr>
        <w:t>及其在银行产生的孳息。</w:t>
      </w:r>
    </w:p>
    <w:p w14:paraId="7CEFEDC6">
      <w:pPr>
        <w:numPr>
          <w:ilvl w:val="1"/>
          <w:numId w:val="14"/>
        </w:numPr>
        <w:tabs>
          <w:tab w:val="left" w:pos="1080"/>
          <w:tab w:val="left" w:pos="2014"/>
        </w:tabs>
        <w:snapToGrid w:val="0"/>
        <w:spacing w:line="360" w:lineRule="auto"/>
        <w:ind w:left="1077" w:hanging="720"/>
        <w:rPr>
          <w:sz w:val="24"/>
        </w:rPr>
      </w:pPr>
      <w:r>
        <w:rPr>
          <w:sz w:val="24"/>
        </w:rPr>
        <w:t>有下列情形之一的，采购人或采购代理机构可以不予退还</w:t>
      </w:r>
      <w:r>
        <w:rPr>
          <w:rFonts w:hint="eastAsia"/>
          <w:sz w:val="24"/>
        </w:rPr>
        <w:t>比选保证金</w:t>
      </w:r>
      <w:r>
        <w:rPr>
          <w:sz w:val="24"/>
        </w:rPr>
        <w:t>：</w:t>
      </w:r>
    </w:p>
    <w:p w14:paraId="551EF366">
      <w:pPr>
        <w:numPr>
          <w:ilvl w:val="2"/>
          <w:numId w:val="14"/>
        </w:numPr>
        <w:snapToGrid w:val="0"/>
        <w:spacing w:line="360" w:lineRule="auto"/>
        <w:rPr>
          <w:sz w:val="24"/>
        </w:rPr>
      </w:pPr>
      <w:r>
        <w:rPr>
          <w:rFonts w:hint="eastAsia"/>
          <w:sz w:val="24"/>
        </w:rPr>
        <w:t>比选有效期</w:t>
      </w:r>
      <w:r>
        <w:rPr>
          <w:sz w:val="24"/>
        </w:rPr>
        <w:t>内</w:t>
      </w:r>
      <w:r>
        <w:rPr>
          <w:rFonts w:hint="eastAsia"/>
          <w:sz w:val="24"/>
        </w:rPr>
        <w:t>参选人</w:t>
      </w:r>
      <w:r>
        <w:rPr>
          <w:sz w:val="24"/>
        </w:rPr>
        <w:t>撤销</w:t>
      </w:r>
      <w:r>
        <w:rPr>
          <w:rFonts w:hint="eastAsia"/>
          <w:sz w:val="24"/>
        </w:rPr>
        <w:t>响应文件</w:t>
      </w:r>
      <w:r>
        <w:rPr>
          <w:sz w:val="24"/>
        </w:rPr>
        <w:t>的；</w:t>
      </w:r>
    </w:p>
    <w:p w14:paraId="35BF107C">
      <w:pPr>
        <w:numPr>
          <w:ilvl w:val="2"/>
          <w:numId w:val="14"/>
        </w:numPr>
        <w:tabs>
          <w:tab w:val="left" w:pos="900"/>
          <w:tab w:val="left" w:pos="1080"/>
          <w:tab w:val="left" w:pos="2014"/>
        </w:tabs>
        <w:snapToGrid w:val="0"/>
        <w:spacing w:line="360" w:lineRule="auto"/>
        <w:rPr>
          <w:sz w:val="24"/>
        </w:rPr>
      </w:pPr>
      <w:r>
        <w:rPr>
          <w:sz w:val="24"/>
        </w:rPr>
        <w:t>《</w:t>
      </w:r>
      <w:r>
        <w:rPr>
          <w:rFonts w:hint="eastAsia"/>
          <w:sz w:val="24"/>
        </w:rPr>
        <w:t>参选人</w:t>
      </w:r>
      <w:r>
        <w:rPr>
          <w:sz w:val="24"/>
        </w:rPr>
        <w:t>须知资料表》中规定的其他情形。</w:t>
      </w:r>
    </w:p>
    <w:p w14:paraId="48DAEFFD">
      <w:pPr>
        <w:numPr>
          <w:ilvl w:val="0"/>
          <w:numId w:val="14"/>
        </w:numPr>
        <w:tabs>
          <w:tab w:val="left" w:pos="360"/>
        </w:tabs>
        <w:snapToGrid w:val="0"/>
        <w:spacing w:line="360" w:lineRule="auto"/>
        <w:ind w:left="357" w:hanging="357"/>
        <w:outlineLvl w:val="1"/>
        <w:rPr>
          <w:sz w:val="24"/>
        </w:rPr>
      </w:pPr>
      <w:r>
        <w:rPr>
          <w:rFonts w:hint="eastAsia"/>
          <w:sz w:val="24"/>
        </w:rPr>
        <w:t>比选有效期</w:t>
      </w:r>
    </w:p>
    <w:p w14:paraId="7C8A71BC">
      <w:pPr>
        <w:numPr>
          <w:ilvl w:val="1"/>
          <w:numId w:val="14"/>
        </w:numPr>
        <w:tabs>
          <w:tab w:val="left" w:pos="1080"/>
          <w:tab w:val="left" w:pos="2014"/>
        </w:tabs>
        <w:snapToGrid w:val="0"/>
        <w:spacing w:line="360" w:lineRule="auto"/>
        <w:ind w:left="1077" w:hanging="720"/>
        <w:rPr>
          <w:sz w:val="24"/>
        </w:rPr>
      </w:pPr>
      <w:r>
        <w:rPr>
          <w:rFonts w:hint="eastAsia"/>
          <w:sz w:val="24"/>
        </w:rPr>
        <w:t>响应文件</w:t>
      </w:r>
      <w:r>
        <w:rPr>
          <w:sz w:val="24"/>
        </w:rPr>
        <w:t>应在本</w:t>
      </w:r>
      <w:r>
        <w:rPr>
          <w:rFonts w:hint="eastAsia"/>
          <w:sz w:val="24"/>
        </w:rPr>
        <w:t>比选文件</w:t>
      </w:r>
      <w:r>
        <w:rPr>
          <w:sz w:val="24"/>
        </w:rPr>
        <w:t>《</w:t>
      </w:r>
      <w:r>
        <w:rPr>
          <w:rFonts w:hint="eastAsia"/>
          <w:sz w:val="24"/>
        </w:rPr>
        <w:t>参选人</w:t>
      </w:r>
      <w:r>
        <w:rPr>
          <w:sz w:val="24"/>
        </w:rPr>
        <w:t>须知资料表》中规定的</w:t>
      </w:r>
      <w:r>
        <w:rPr>
          <w:rFonts w:hint="eastAsia"/>
          <w:sz w:val="24"/>
        </w:rPr>
        <w:t>比选有效期</w:t>
      </w:r>
      <w:r>
        <w:rPr>
          <w:sz w:val="24"/>
        </w:rPr>
        <w:t>内保持有效，</w:t>
      </w:r>
      <w:r>
        <w:rPr>
          <w:rFonts w:hint="eastAsia"/>
          <w:sz w:val="24"/>
        </w:rPr>
        <w:t>比选有效期</w:t>
      </w:r>
      <w:r>
        <w:rPr>
          <w:sz w:val="24"/>
        </w:rPr>
        <w:t>少于</w:t>
      </w:r>
      <w:r>
        <w:rPr>
          <w:rFonts w:hint="eastAsia"/>
          <w:sz w:val="24"/>
        </w:rPr>
        <w:t>比选文件</w:t>
      </w:r>
      <w:r>
        <w:rPr>
          <w:sz w:val="24"/>
        </w:rPr>
        <w:t>规定期限的，其</w:t>
      </w:r>
      <w:r>
        <w:rPr>
          <w:b/>
          <w:sz w:val="24"/>
        </w:rPr>
        <w:t>投标无效</w:t>
      </w:r>
      <w:r>
        <w:rPr>
          <w:sz w:val="24"/>
        </w:rPr>
        <w:t>。</w:t>
      </w:r>
    </w:p>
    <w:p w14:paraId="2059A529">
      <w:pPr>
        <w:numPr>
          <w:ilvl w:val="0"/>
          <w:numId w:val="14"/>
        </w:numPr>
        <w:tabs>
          <w:tab w:val="left" w:pos="360"/>
        </w:tabs>
        <w:snapToGrid w:val="0"/>
        <w:spacing w:line="360" w:lineRule="auto"/>
        <w:outlineLvl w:val="1"/>
        <w:rPr>
          <w:sz w:val="24"/>
        </w:rPr>
      </w:pPr>
      <w:bookmarkStart w:id="266" w:name="_Toc520356158"/>
      <w:bookmarkStart w:id="267" w:name="_Toc151193703"/>
      <w:bookmarkStart w:id="268" w:name="_Toc226965723"/>
      <w:bookmarkStart w:id="269" w:name="_Toc164608647"/>
      <w:bookmarkStart w:id="270" w:name="_Toc195842898"/>
      <w:bookmarkStart w:id="271" w:name="_Toc305158875"/>
      <w:bookmarkStart w:id="272" w:name="_Toc226309777"/>
      <w:bookmarkStart w:id="273" w:name="_Toc226965806"/>
      <w:bookmarkStart w:id="274" w:name="_Toc151190160"/>
      <w:bookmarkStart w:id="275" w:name="_Toc150509284"/>
      <w:bookmarkStart w:id="276" w:name="_Toc150774738"/>
      <w:bookmarkStart w:id="277" w:name="_Toc151193847"/>
      <w:bookmarkStart w:id="278" w:name="_Toc305158801"/>
      <w:bookmarkStart w:id="279" w:name="_Toc127161447"/>
      <w:bookmarkStart w:id="280" w:name="_Toc150774633"/>
      <w:bookmarkStart w:id="281" w:name="_Toc164229228"/>
      <w:bookmarkStart w:id="282" w:name="_Toc164229374"/>
      <w:bookmarkStart w:id="283" w:name="_Toc127151533"/>
      <w:bookmarkStart w:id="284" w:name="_Toc164608802"/>
      <w:bookmarkStart w:id="285" w:name="_Toc149720826"/>
      <w:bookmarkStart w:id="286" w:name="_Toc164351627"/>
      <w:bookmarkStart w:id="287" w:name="_Toc226337229"/>
      <w:bookmarkStart w:id="288" w:name="_Toc142311035"/>
      <w:bookmarkStart w:id="289" w:name="_Toc264969223"/>
      <w:bookmarkStart w:id="290" w:name="_Toc151193921"/>
      <w:bookmarkStart w:id="291" w:name="_Toc150480771"/>
      <w:bookmarkStart w:id="292" w:name="_Toc151193775"/>
      <w:bookmarkStart w:id="293" w:name="_Toc127151734"/>
      <w:bookmarkStart w:id="294" w:name="_Toc151193631"/>
      <w:bookmarkStart w:id="295" w:name="_Toc265228371"/>
      <w:r>
        <w:rPr>
          <w:rFonts w:hint="eastAsia"/>
          <w:sz w:val="24"/>
        </w:rPr>
        <w:t>响应文件</w:t>
      </w:r>
      <w:r>
        <w:rPr>
          <w:sz w:val="24"/>
        </w:rPr>
        <w:t>的签署</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sz w:val="24"/>
        </w:rPr>
        <w:t>、盖章</w:t>
      </w:r>
    </w:p>
    <w:p w14:paraId="77CC6AF4">
      <w:pPr>
        <w:numPr>
          <w:ilvl w:val="1"/>
          <w:numId w:val="14"/>
        </w:numPr>
        <w:tabs>
          <w:tab w:val="left" w:pos="1080"/>
          <w:tab w:val="left" w:pos="2014"/>
        </w:tabs>
        <w:snapToGrid w:val="0"/>
        <w:spacing w:line="360" w:lineRule="auto"/>
        <w:ind w:left="1077" w:hanging="720"/>
        <w:rPr>
          <w:b/>
          <w:bCs/>
          <w:sz w:val="24"/>
        </w:rPr>
      </w:pPr>
      <w:bookmarkStart w:id="296" w:name="_Toc127151534"/>
      <w:bookmarkStart w:id="297" w:name="_Toc264969224"/>
      <w:bookmarkStart w:id="298" w:name="_Toc226309778"/>
      <w:bookmarkStart w:id="299" w:name="_Toc150480772"/>
      <w:bookmarkStart w:id="300" w:name="_Toc150774634"/>
      <w:bookmarkStart w:id="301" w:name="_Toc305158876"/>
      <w:bookmarkStart w:id="302" w:name="_Toc265228372"/>
      <w:bookmarkStart w:id="303" w:name="_Toc151193848"/>
      <w:bookmarkStart w:id="304" w:name="_Toc151193632"/>
      <w:bookmarkStart w:id="305" w:name="_Toc151193776"/>
      <w:bookmarkStart w:id="306" w:name="_Toc150774739"/>
      <w:bookmarkStart w:id="307" w:name="_Toc226337230"/>
      <w:bookmarkStart w:id="308" w:name="_Toc520356159"/>
      <w:bookmarkStart w:id="309" w:name="_Toc195842899"/>
      <w:bookmarkStart w:id="310" w:name="_Toc150509285"/>
      <w:bookmarkStart w:id="311" w:name="_Toc151190161"/>
      <w:bookmarkStart w:id="312" w:name="_Toc142311036"/>
      <w:bookmarkStart w:id="313" w:name="_Toc151193922"/>
      <w:bookmarkStart w:id="314" w:name="_Toc226965807"/>
      <w:bookmarkStart w:id="315" w:name="_Toc151193704"/>
      <w:bookmarkStart w:id="316" w:name="_Toc305158802"/>
      <w:bookmarkStart w:id="317" w:name="_Toc226965724"/>
      <w:r>
        <w:rPr>
          <w:rFonts w:hint="eastAsia"/>
          <w:sz w:val="24"/>
        </w:rPr>
        <w:t>电子标方式</w:t>
      </w:r>
      <w:r>
        <w:rPr>
          <w:rFonts w:hint="eastAsia"/>
          <w:b/>
          <w:bCs/>
          <w:sz w:val="24"/>
        </w:rPr>
        <w:t>（本项目不适用）</w:t>
      </w:r>
    </w:p>
    <w:p w14:paraId="398E6DDB">
      <w:pPr>
        <w:numPr>
          <w:ilvl w:val="2"/>
          <w:numId w:val="14"/>
        </w:numPr>
        <w:snapToGrid w:val="0"/>
        <w:spacing w:line="360" w:lineRule="auto"/>
        <w:rPr>
          <w:sz w:val="24"/>
        </w:rPr>
      </w:pPr>
      <w:r>
        <w:rPr>
          <w:rFonts w:hint="eastAsia"/>
          <w:sz w:val="24"/>
        </w:rPr>
        <w:t>比选文件</w:t>
      </w:r>
      <w:r>
        <w:rPr>
          <w:sz w:val="24"/>
        </w:rPr>
        <w:t>要求签字的内容（如授权委托书等），</w:t>
      </w:r>
      <w:r>
        <w:rPr>
          <w:rFonts w:hint="eastAsia"/>
          <w:sz w:val="24"/>
        </w:rPr>
        <w:t>可以使用电子签章或使用原件的电子件（电子件指扫描件、照片等形式电子文件）；要求</w:t>
      </w:r>
      <w:r>
        <w:rPr>
          <w:sz w:val="24"/>
        </w:rPr>
        <w:t>第三方出具的盖章件原件（如联合协议、分包意向协议、制造商授权书等），</w:t>
      </w:r>
      <w:r>
        <w:rPr>
          <w:rFonts w:hint="eastAsia"/>
          <w:sz w:val="24"/>
        </w:rPr>
        <w:t>响应文件</w:t>
      </w:r>
      <w:r>
        <w:rPr>
          <w:sz w:val="24"/>
        </w:rPr>
        <w:t>中应使用原件的电子件。</w:t>
      </w:r>
    </w:p>
    <w:p w14:paraId="45020681">
      <w:pPr>
        <w:numPr>
          <w:ilvl w:val="2"/>
          <w:numId w:val="14"/>
        </w:numPr>
        <w:snapToGrid w:val="0"/>
        <w:spacing w:line="360" w:lineRule="auto"/>
        <w:rPr>
          <w:sz w:val="24"/>
        </w:rPr>
      </w:pPr>
      <w:r>
        <w:rPr>
          <w:rFonts w:hint="eastAsia"/>
          <w:sz w:val="24"/>
        </w:rPr>
        <w:t>比选文件</w:t>
      </w:r>
      <w:r>
        <w:rPr>
          <w:sz w:val="24"/>
        </w:rPr>
        <w:t>要求盖章的内容，</w:t>
      </w:r>
      <w:r>
        <w:rPr>
          <w:rFonts w:hint="eastAsia"/>
          <w:sz w:val="24"/>
        </w:rPr>
        <w:t>一般</w:t>
      </w:r>
      <w:r>
        <w:rPr>
          <w:sz w:val="24"/>
        </w:rPr>
        <w:t>通过</w:t>
      </w:r>
      <w:r>
        <w:rPr>
          <w:rFonts w:hint="eastAsia"/>
          <w:sz w:val="24"/>
        </w:rPr>
        <w:t>响应文件</w:t>
      </w:r>
      <w:r>
        <w:rPr>
          <w:sz w:val="24"/>
        </w:rPr>
        <w:t>编制工具加盖电子签章。</w:t>
      </w:r>
    </w:p>
    <w:p w14:paraId="500B4716">
      <w:pPr>
        <w:numPr>
          <w:ilvl w:val="1"/>
          <w:numId w:val="14"/>
        </w:numPr>
        <w:tabs>
          <w:tab w:val="left" w:pos="1080"/>
          <w:tab w:val="left" w:pos="2014"/>
        </w:tabs>
        <w:snapToGrid w:val="0"/>
        <w:spacing w:line="360" w:lineRule="auto"/>
        <w:ind w:left="1077" w:hanging="720"/>
        <w:rPr>
          <w:sz w:val="24"/>
        </w:rPr>
      </w:pPr>
      <w:r>
        <w:rPr>
          <w:rFonts w:hint="eastAsia"/>
          <w:sz w:val="24"/>
        </w:rPr>
        <w:t>电子化与线下流程结合方式</w:t>
      </w:r>
    </w:p>
    <w:p w14:paraId="71ED7298">
      <w:pPr>
        <w:numPr>
          <w:ilvl w:val="2"/>
          <w:numId w:val="14"/>
        </w:numPr>
        <w:snapToGrid w:val="0"/>
        <w:spacing w:line="360" w:lineRule="auto"/>
        <w:rPr>
          <w:sz w:val="24"/>
        </w:rPr>
      </w:pPr>
      <w:r>
        <w:rPr>
          <w:rFonts w:hint="eastAsia"/>
          <w:sz w:val="24"/>
        </w:rPr>
        <w:t>响应文件规格幅面使用A4规格纸张，按照比选文件规定的顺序，统一编目编码装订。由于编排混乱导致响应文件被误读或查找不到，其责任由参选人承担。</w:t>
      </w:r>
      <w:r>
        <w:rPr>
          <w:b/>
          <w:sz w:val="24"/>
        </w:rPr>
        <w:t>《资格证明文件》、《商务技术文件》</w:t>
      </w:r>
      <w:r>
        <w:rPr>
          <w:rFonts w:hint="eastAsia"/>
          <w:b/>
          <w:sz w:val="24"/>
        </w:rPr>
        <w:t>可单独装订，也可合并装订，两种方式均为有效的响应文件。</w:t>
      </w:r>
      <w:r>
        <w:rPr>
          <w:rFonts w:hint="eastAsia"/>
          <w:sz w:val="24"/>
        </w:rPr>
        <w:t>响应文件装订采用胶订形式，不得采用活页装订，否则将被视为无效投标。</w:t>
      </w:r>
    </w:p>
    <w:p w14:paraId="2B685C0E">
      <w:pPr>
        <w:snapToGrid w:val="0"/>
        <w:spacing w:line="360" w:lineRule="auto"/>
        <w:ind w:left="1080" w:firstLine="964" w:firstLineChars="400"/>
        <w:rPr>
          <w:b/>
          <w:bCs/>
          <w:sz w:val="24"/>
        </w:rPr>
      </w:pPr>
      <w:r>
        <w:rPr>
          <w:rFonts w:hint="eastAsia"/>
          <w:b/>
          <w:bCs/>
          <w:sz w:val="24"/>
          <w:u w:val="double"/>
        </w:rPr>
        <w:t>本项目为纸质文件投标。</w:t>
      </w:r>
    </w:p>
    <w:p w14:paraId="6E6850AD">
      <w:pPr>
        <w:numPr>
          <w:ilvl w:val="2"/>
          <w:numId w:val="14"/>
        </w:numPr>
        <w:snapToGrid w:val="0"/>
        <w:spacing w:line="360" w:lineRule="auto"/>
        <w:rPr>
          <w:sz w:val="24"/>
        </w:rPr>
      </w:pPr>
      <w:r>
        <w:rPr>
          <w:rFonts w:hint="eastAsia"/>
          <w:sz w:val="24"/>
        </w:rPr>
        <w:t>参选人在响应文件及相关文件的签订、履行、通知等事项的书面文件中的单位盖章、印章、公章等处均仅指与当事人名称全称相一致的公章，不得使用其它形式（如带有“专用章”等字样的其他特定用途印章）。如参选人需要在本次项目中使用投标专用章，须提供符合以下要求的特别说明函：</w:t>
      </w:r>
    </w:p>
    <w:p w14:paraId="05964688">
      <w:pPr>
        <w:tabs>
          <w:tab w:val="left" w:pos="1980"/>
        </w:tabs>
        <w:snapToGrid w:val="0"/>
        <w:spacing w:line="360" w:lineRule="auto"/>
        <w:ind w:left="1980"/>
        <w:rPr>
          <w:sz w:val="24"/>
        </w:rPr>
      </w:pPr>
      <w:r>
        <w:rPr>
          <w:rFonts w:hint="eastAsia"/>
          <w:sz w:val="24"/>
        </w:rPr>
        <w:t>1)特别说明函须声明：针对本次投标项目，该参选人投标专用章作为直接参与投标时相关响应文件的签章、及业务合作伙伴参与投标时授权函的签章，其效力等同于公章；</w:t>
      </w:r>
    </w:p>
    <w:p w14:paraId="58AD57EA">
      <w:pPr>
        <w:tabs>
          <w:tab w:val="left" w:pos="1980"/>
        </w:tabs>
        <w:snapToGrid w:val="0"/>
        <w:spacing w:line="360" w:lineRule="auto"/>
        <w:ind w:left="1980"/>
        <w:rPr>
          <w:sz w:val="24"/>
        </w:rPr>
      </w:pPr>
      <w:r>
        <w:rPr>
          <w:rFonts w:hint="eastAsia"/>
          <w:sz w:val="24"/>
        </w:rPr>
        <w:t>2)特别说明函须加盖公章，并在说明函中附投标专用章印模或样式。</w:t>
      </w:r>
    </w:p>
    <w:p w14:paraId="17CB4B68">
      <w:pPr>
        <w:tabs>
          <w:tab w:val="left" w:pos="1980"/>
        </w:tabs>
        <w:snapToGrid w:val="0"/>
        <w:spacing w:line="360" w:lineRule="auto"/>
        <w:ind w:left="1980"/>
        <w:rPr>
          <w:sz w:val="24"/>
        </w:rPr>
      </w:pPr>
      <w:r>
        <w:rPr>
          <w:rFonts w:hint="eastAsia"/>
          <w:sz w:val="24"/>
        </w:rPr>
        <w:t>盖章不符合本比选文件规定的，将被视为无效投标。</w:t>
      </w:r>
    </w:p>
    <w:p w14:paraId="5AB86AE4">
      <w:pPr>
        <w:numPr>
          <w:ilvl w:val="2"/>
          <w:numId w:val="14"/>
        </w:numPr>
        <w:snapToGrid w:val="0"/>
        <w:spacing w:line="360" w:lineRule="auto"/>
        <w:rPr>
          <w:sz w:val="24"/>
        </w:rPr>
      </w:pPr>
      <w:r>
        <w:rPr>
          <w:rFonts w:hint="eastAsia"/>
          <w:sz w:val="24"/>
        </w:rPr>
        <w:t>响应文件的正本需打印或用不褪色墨水书写，在封面及适当的位置填写参选人全称并加盖公章，不符合本条规定的将被视为无效投标。响应文件的副本可以是正本的复印件。</w:t>
      </w:r>
    </w:p>
    <w:p w14:paraId="6EA78412">
      <w:pPr>
        <w:numPr>
          <w:ilvl w:val="2"/>
          <w:numId w:val="14"/>
        </w:numPr>
        <w:snapToGrid w:val="0"/>
        <w:spacing w:line="360" w:lineRule="auto"/>
        <w:rPr>
          <w:sz w:val="24"/>
        </w:rPr>
      </w:pPr>
      <w:r>
        <w:rPr>
          <w:rFonts w:hint="eastAsia"/>
          <w:sz w:val="24"/>
        </w:rPr>
        <w:t>响应文件应字迹清楚，内容齐全，不得涂改或增删。任何行间插字、涂改和增删，必须有参选人公章及响应文件签字人签字方为有效。</w:t>
      </w:r>
    </w:p>
    <w:p w14:paraId="2F019758">
      <w:pPr>
        <w:numPr>
          <w:ilvl w:val="2"/>
          <w:numId w:val="14"/>
        </w:numPr>
        <w:snapToGrid w:val="0"/>
        <w:spacing w:line="360" w:lineRule="auto"/>
        <w:rPr>
          <w:sz w:val="24"/>
        </w:rPr>
      </w:pPr>
      <w:r>
        <w:rPr>
          <w:rFonts w:hint="eastAsia"/>
          <w:sz w:val="24"/>
        </w:rPr>
        <w:t>参选人应按规定准备响应文件：见参选人须知资料表第</w:t>
      </w:r>
      <w:r>
        <w:rPr>
          <w:sz w:val="24"/>
        </w:rPr>
        <w:t>14.2.5</w:t>
      </w:r>
      <w:r>
        <w:rPr>
          <w:rFonts w:hint="eastAsia"/>
          <w:sz w:val="24"/>
        </w:rPr>
        <w:t>条，若不满足，按无效响应处理。每套响应文件须清楚地标明“响应文件正本”、“响应文件副本”、“电子文档”。一旦正本和副本不符，以正本为准；电子文档和纸质文件不符，以纸质文件为准。如参选人对比选文件个别内容不能接受，应在响应文件中另作声明，否则将视为参选人接受比选文件全部内容。</w:t>
      </w:r>
    </w:p>
    <w:p w14:paraId="11FD95FA">
      <w:pPr>
        <w:numPr>
          <w:ilvl w:val="2"/>
          <w:numId w:val="14"/>
        </w:numPr>
        <w:snapToGrid w:val="0"/>
        <w:spacing w:line="360" w:lineRule="auto"/>
        <w:rPr>
          <w:sz w:val="24"/>
        </w:rPr>
      </w:pPr>
      <w:r>
        <w:rPr>
          <w:rFonts w:hint="eastAsia"/>
          <w:sz w:val="24"/>
        </w:rPr>
        <w:t>如参选人对比选文件个别内容不能接受，应在响应文件中另作声明，否则将视为参选人接受比选文件全部内容。</w:t>
      </w:r>
    </w:p>
    <w:p w14:paraId="5219CFFF">
      <w:pPr>
        <w:tabs>
          <w:tab w:val="left" w:pos="900"/>
          <w:tab w:val="left" w:pos="1080"/>
        </w:tabs>
        <w:snapToGrid w:val="0"/>
        <w:spacing w:line="360" w:lineRule="auto"/>
        <w:ind w:left="357"/>
      </w:pPr>
    </w:p>
    <w:p w14:paraId="60C7A886">
      <w:pPr>
        <w:pStyle w:val="3"/>
        <w:spacing w:before="0" w:line="360" w:lineRule="auto"/>
        <w:rPr>
          <w:rFonts w:ascii="Times New Roman" w:hAnsi="Times New Roman" w:eastAsia="宋体"/>
          <w:sz w:val="28"/>
        </w:rPr>
      </w:pPr>
      <w:r>
        <w:rPr>
          <w:rFonts w:ascii="Times New Roman" w:hAnsi="Times New Roman" w:eastAsia="宋体"/>
          <w:sz w:val="28"/>
        </w:rPr>
        <w:t xml:space="preserve">四   </w:t>
      </w:r>
      <w:r>
        <w:rPr>
          <w:rFonts w:hint="eastAsia" w:ascii="Times New Roman" w:hAnsi="Times New Roman" w:eastAsia="宋体"/>
          <w:sz w:val="28"/>
        </w:rPr>
        <w:t>响应文件</w:t>
      </w:r>
      <w:r>
        <w:rPr>
          <w:rFonts w:ascii="Times New Roman" w:hAnsi="Times New Roman" w:eastAsia="宋体"/>
          <w:sz w:val="28"/>
        </w:rPr>
        <w:t>的提交</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FB563E6">
      <w:pPr>
        <w:numPr>
          <w:ilvl w:val="0"/>
          <w:numId w:val="14"/>
        </w:numPr>
        <w:tabs>
          <w:tab w:val="left" w:pos="360"/>
        </w:tabs>
        <w:snapToGrid w:val="0"/>
        <w:spacing w:line="360" w:lineRule="auto"/>
        <w:ind w:left="357" w:hanging="357"/>
        <w:outlineLvl w:val="1"/>
        <w:rPr>
          <w:sz w:val="24"/>
        </w:rPr>
      </w:pPr>
      <w:bookmarkStart w:id="318" w:name="_Toc164229376"/>
      <w:bookmarkStart w:id="319" w:name="_Toc164608649"/>
      <w:bookmarkStart w:id="320" w:name="_Toc226309779"/>
      <w:bookmarkStart w:id="321" w:name="_Toc164351629"/>
      <w:bookmarkStart w:id="322" w:name="_Toc305158877"/>
      <w:bookmarkStart w:id="323" w:name="_Toc151193633"/>
      <w:bookmarkStart w:id="324" w:name="_Toc226337231"/>
      <w:bookmarkStart w:id="325" w:name="_Toc305158803"/>
      <w:bookmarkStart w:id="326" w:name="_Toc127161449"/>
      <w:bookmarkStart w:id="327" w:name="_Toc264969225"/>
      <w:bookmarkStart w:id="328" w:name="_Toc151193923"/>
      <w:bookmarkStart w:id="329" w:name="_Toc151190162"/>
      <w:bookmarkStart w:id="330" w:name="_Toc520356160"/>
      <w:bookmarkStart w:id="331" w:name="_Toc195842900"/>
      <w:bookmarkStart w:id="332" w:name="_Toc142311037"/>
      <w:bookmarkStart w:id="333" w:name="_Toc150480773"/>
      <w:bookmarkStart w:id="334" w:name="_Toc265228373"/>
      <w:bookmarkStart w:id="335" w:name="_Toc164229230"/>
      <w:bookmarkStart w:id="336" w:name="_Toc226965808"/>
      <w:bookmarkStart w:id="337" w:name="_Toc151193705"/>
      <w:bookmarkStart w:id="338" w:name="_Toc226965725"/>
      <w:bookmarkStart w:id="339" w:name="_Toc150509286"/>
      <w:bookmarkStart w:id="340" w:name="_Toc127151736"/>
      <w:bookmarkStart w:id="341" w:name="_Toc164608804"/>
      <w:bookmarkStart w:id="342" w:name="_Toc149720828"/>
      <w:bookmarkStart w:id="343" w:name="_Toc150774740"/>
      <w:bookmarkStart w:id="344" w:name="_Toc151193849"/>
      <w:bookmarkStart w:id="345" w:name="_Toc127151535"/>
      <w:bookmarkStart w:id="346" w:name="_Toc150774635"/>
      <w:bookmarkStart w:id="347" w:name="_Toc151193777"/>
      <w:r>
        <w:rPr>
          <w:rFonts w:hint="eastAsia"/>
          <w:sz w:val="24"/>
        </w:rPr>
        <w:t>响应文件</w:t>
      </w:r>
      <w:r>
        <w:rPr>
          <w:sz w:val="24"/>
        </w:rPr>
        <w:t>的</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sz w:val="24"/>
        </w:rPr>
        <w:t>提交</w:t>
      </w:r>
      <w:r>
        <w:rPr>
          <w:rFonts w:hint="eastAsia"/>
          <w:b/>
          <w:bCs/>
          <w:sz w:val="24"/>
        </w:rPr>
        <w:t>（本项目为纸质文件投标）</w:t>
      </w:r>
    </w:p>
    <w:p w14:paraId="6DE1DF7F">
      <w:pPr>
        <w:numPr>
          <w:ilvl w:val="1"/>
          <w:numId w:val="14"/>
        </w:numPr>
        <w:tabs>
          <w:tab w:val="left" w:pos="1080"/>
          <w:tab w:val="left" w:pos="2014"/>
        </w:tabs>
        <w:snapToGrid w:val="0"/>
        <w:spacing w:line="360" w:lineRule="auto"/>
        <w:ind w:left="1077" w:hanging="720"/>
        <w:rPr>
          <w:sz w:val="24"/>
        </w:rPr>
      </w:pPr>
      <w:r>
        <w:rPr>
          <w:rFonts w:hint="eastAsia"/>
          <w:sz w:val="24"/>
        </w:rPr>
        <w:t>电子标方式（不适用）</w:t>
      </w:r>
    </w:p>
    <w:p w14:paraId="6444F1B8">
      <w:pPr>
        <w:numPr>
          <w:ilvl w:val="2"/>
          <w:numId w:val="14"/>
        </w:numPr>
        <w:snapToGrid w:val="0"/>
        <w:spacing w:line="360" w:lineRule="auto"/>
        <w:rPr>
          <w:sz w:val="24"/>
        </w:rPr>
      </w:pPr>
      <w:r>
        <w:rPr>
          <w:sz w:val="24"/>
        </w:rPr>
        <w:t>本项目使用电子交易平台。</w:t>
      </w:r>
      <w:r>
        <w:rPr>
          <w:rFonts w:hint="eastAsia"/>
          <w:sz w:val="24"/>
        </w:rPr>
        <w:t>参选人</w:t>
      </w:r>
      <w:r>
        <w:rPr>
          <w:sz w:val="24"/>
        </w:rPr>
        <w:t>根据</w:t>
      </w:r>
      <w:r>
        <w:rPr>
          <w:rFonts w:hint="eastAsia"/>
          <w:sz w:val="24"/>
        </w:rPr>
        <w:t>比选文件</w:t>
      </w:r>
      <w:r>
        <w:rPr>
          <w:sz w:val="24"/>
        </w:rPr>
        <w:t>及电子交易平台供应商操作手册要求编制、生成并提交电子</w:t>
      </w:r>
      <w:r>
        <w:rPr>
          <w:rFonts w:hint="eastAsia"/>
          <w:sz w:val="24"/>
        </w:rPr>
        <w:t>响应文件</w:t>
      </w:r>
      <w:r>
        <w:rPr>
          <w:sz w:val="24"/>
        </w:rPr>
        <w:t>。</w:t>
      </w:r>
    </w:p>
    <w:p w14:paraId="184A14F5">
      <w:pPr>
        <w:numPr>
          <w:ilvl w:val="2"/>
          <w:numId w:val="14"/>
        </w:numPr>
        <w:snapToGrid w:val="0"/>
        <w:spacing w:line="360" w:lineRule="auto"/>
        <w:rPr>
          <w:sz w:val="24"/>
        </w:rPr>
      </w:pPr>
      <w:r>
        <w:rPr>
          <w:sz w:val="24"/>
        </w:rPr>
        <w:t>采购人及采购代理机构拒绝接受通过电子交易平台以外任何形式提交的</w:t>
      </w:r>
      <w:r>
        <w:rPr>
          <w:rFonts w:hint="eastAsia"/>
          <w:sz w:val="24"/>
        </w:rPr>
        <w:t>响应文件</w:t>
      </w:r>
      <w:r>
        <w:rPr>
          <w:sz w:val="24"/>
        </w:rPr>
        <w:t>，</w:t>
      </w:r>
      <w:r>
        <w:rPr>
          <w:rFonts w:hint="eastAsia"/>
          <w:sz w:val="24"/>
        </w:rPr>
        <w:t>比选保证金</w:t>
      </w:r>
      <w:r>
        <w:rPr>
          <w:sz w:val="24"/>
        </w:rPr>
        <w:t>除外。</w:t>
      </w:r>
    </w:p>
    <w:p w14:paraId="2A3412A1">
      <w:pPr>
        <w:numPr>
          <w:ilvl w:val="1"/>
          <w:numId w:val="14"/>
        </w:numPr>
        <w:tabs>
          <w:tab w:val="left" w:pos="1080"/>
          <w:tab w:val="left" w:pos="2014"/>
        </w:tabs>
        <w:snapToGrid w:val="0"/>
        <w:spacing w:line="360" w:lineRule="auto"/>
        <w:ind w:left="1077" w:hanging="720"/>
        <w:rPr>
          <w:sz w:val="24"/>
        </w:rPr>
      </w:pPr>
      <w:r>
        <w:rPr>
          <w:rFonts w:hint="eastAsia"/>
          <w:sz w:val="24"/>
        </w:rPr>
        <w:t>电子化与线下流程结合方式</w:t>
      </w:r>
    </w:p>
    <w:p w14:paraId="770A8DB7">
      <w:pPr>
        <w:numPr>
          <w:ilvl w:val="2"/>
          <w:numId w:val="14"/>
        </w:numPr>
        <w:snapToGrid w:val="0"/>
        <w:spacing w:line="360" w:lineRule="auto"/>
        <w:rPr>
          <w:sz w:val="24"/>
        </w:rPr>
      </w:pPr>
      <w:r>
        <w:rPr>
          <w:rFonts w:hint="eastAsia"/>
          <w:sz w:val="24"/>
        </w:rPr>
        <w:t>参选人</w:t>
      </w:r>
      <w:r>
        <w:rPr>
          <w:sz w:val="24"/>
        </w:rPr>
        <w:t>应将</w:t>
      </w:r>
      <w:r>
        <w:rPr>
          <w:rFonts w:hint="eastAsia"/>
          <w:sz w:val="24"/>
        </w:rPr>
        <w:t>响应文件</w:t>
      </w:r>
      <w:r>
        <w:rPr>
          <w:sz w:val="24"/>
        </w:rPr>
        <w:t>正本和所有的副本、电子版本分别密封装在单独的信封中，并在信封上标明 “正本”、“副本”、“电子版本”字样。所有的信封封皮上均应清楚注明：项目编号、分包（如适用）、项目名称、</w:t>
      </w:r>
      <w:r>
        <w:rPr>
          <w:rFonts w:hint="eastAsia"/>
          <w:sz w:val="24"/>
        </w:rPr>
        <w:t>参选人</w:t>
      </w:r>
      <w:r>
        <w:rPr>
          <w:sz w:val="24"/>
        </w:rPr>
        <w:t>名称及“在（开标时间）之前不得启封”的字样。信封封口处应有</w:t>
      </w:r>
      <w:r>
        <w:rPr>
          <w:rFonts w:hint="eastAsia"/>
          <w:sz w:val="24"/>
        </w:rPr>
        <w:t>参选人</w:t>
      </w:r>
      <w:r>
        <w:rPr>
          <w:sz w:val="24"/>
        </w:rPr>
        <w:t>代表的签字及</w:t>
      </w:r>
      <w:r>
        <w:rPr>
          <w:rFonts w:hint="eastAsia"/>
          <w:sz w:val="24"/>
        </w:rPr>
        <w:t>参选人</w:t>
      </w:r>
      <w:r>
        <w:rPr>
          <w:sz w:val="24"/>
        </w:rPr>
        <w:t>公章。</w:t>
      </w:r>
    </w:p>
    <w:p w14:paraId="079A48B6">
      <w:pPr>
        <w:numPr>
          <w:ilvl w:val="2"/>
          <w:numId w:val="14"/>
        </w:numPr>
        <w:snapToGrid w:val="0"/>
        <w:spacing w:line="360" w:lineRule="auto"/>
        <w:rPr>
          <w:sz w:val="24"/>
        </w:rPr>
      </w:pPr>
      <w:r>
        <w:rPr>
          <w:sz w:val="24"/>
        </w:rPr>
        <w:t>为方便开标，</w:t>
      </w:r>
      <w:r>
        <w:rPr>
          <w:rFonts w:hint="eastAsia"/>
          <w:sz w:val="24"/>
        </w:rPr>
        <w:t>参选人</w:t>
      </w:r>
      <w:r>
        <w:rPr>
          <w:sz w:val="24"/>
        </w:rPr>
        <w:t>应将开标一览表和</w:t>
      </w:r>
      <w:r>
        <w:rPr>
          <w:rFonts w:hint="eastAsia"/>
          <w:sz w:val="24"/>
        </w:rPr>
        <w:t>比选保证金</w:t>
      </w:r>
      <w:r>
        <w:rPr>
          <w:sz w:val="24"/>
        </w:rPr>
        <w:t>分别单独密封提交（各放在一个单独的信封内），并在信封上分别标明“开标一览表”和“</w:t>
      </w:r>
      <w:r>
        <w:rPr>
          <w:rFonts w:hint="eastAsia"/>
          <w:sz w:val="24"/>
        </w:rPr>
        <w:t>比选保证金</w:t>
      </w:r>
      <w:r>
        <w:rPr>
          <w:sz w:val="24"/>
        </w:rPr>
        <w:t>”字样。</w:t>
      </w:r>
    </w:p>
    <w:p w14:paraId="26F2B513">
      <w:pPr>
        <w:numPr>
          <w:ilvl w:val="2"/>
          <w:numId w:val="14"/>
        </w:numPr>
        <w:snapToGrid w:val="0"/>
        <w:spacing w:line="360" w:lineRule="auto"/>
        <w:rPr>
          <w:b/>
          <w:sz w:val="24"/>
        </w:rPr>
      </w:pPr>
      <w:r>
        <w:rPr>
          <w:b/>
          <w:sz w:val="24"/>
        </w:rPr>
        <w:t>如果</w:t>
      </w:r>
      <w:r>
        <w:rPr>
          <w:rFonts w:hint="eastAsia"/>
          <w:b/>
          <w:sz w:val="24"/>
        </w:rPr>
        <w:t>参选人</w:t>
      </w:r>
      <w:r>
        <w:rPr>
          <w:b/>
          <w:sz w:val="24"/>
        </w:rPr>
        <w:t>未按上述要求对</w:t>
      </w:r>
      <w:r>
        <w:rPr>
          <w:rFonts w:hint="eastAsia"/>
          <w:b/>
          <w:sz w:val="24"/>
        </w:rPr>
        <w:t>响应文件</w:t>
      </w:r>
      <w:r>
        <w:rPr>
          <w:b/>
          <w:sz w:val="24"/>
        </w:rPr>
        <w:t>密封及加写标记，采购代理机构对</w:t>
      </w:r>
      <w:r>
        <w:rPr>
          <w:rFonts w:hint="eastAsia"/>
          <w:b/>
          <w:sz w:val="24"/>
        </w:rPr>
        <w:t>响应文件</w:t>
      </w:r>
      <w:r>
        <w:rPr>
          <w:b/>
          <w:sz w:val="24"/>
        </w:rPr>
        <w:t>的误投或过早启封概不负责。对由此造成提前开封的</w:t>
      </w:r>
      <w:r>
        <w:rPr>
          <w:rFonts w:hint="eastAsia"/>
          <w:b/>
          <w:sz w:val="24"/>
        </w:rPr>
        <w:t>响应文件</w:t>
      </w:r>
      <w:r>
        <w:rPr>
          <w:b/>
          <w:sz w:val="24"/>
        </w:rPr>
        <w:t>，采购代理机构有权予以拒绝，并退回</w:t>
      </w:r>
      <w:r>
        <w:rPr>
          <w:rFonts w:hint="eastAsia"/>
          <w:b/>
          <w:sz w:val="24"/>
        </w:rPr>
        <w:t>参选人</w:t>
      </w:r>
      <w:r>
        <w:rPr>
          <w:b/>
          <w:sz w:val="24"/>
        </w:rPr>
        <w:t>。</w:t>
      </w:r>
    </w:p>
    <w:p w14:paraId="3D12AACE">
      <w:pPr>
        <w:numPr>
          <w:ilvl w:val="0"/>
          <w:numId w:val="14"/>
        </w:numPr>
        <w:tabs>
          <w:tab w:val="left" w:pos="360"/>
        </w:tabs>
        <w:snapToGrid w:val="0"/>
        <w:spacing w:line="360" w:lineRule="auto"/>
        <w:ind w:left="357" w:hanging="357"/>
        <w:outlineLvl w:val="1"/>
        <w:rPr>
          <w:sz w:val="24"/>
        </w:rPr>
      </w:pPr>
      <w:bookmarkStart w:id="348" w:name="_Toc164229377"/>
      <w:bookmarkStart w:id="349" w:name="_Toc127161450"/>
      <w:bookmarkStart w:id="350" w:name="_Toc149720829"/>
      <w:bookmarkStart w:id="351" w:name="_Toc305158878"/>
      <w:bookmarkStart w:id="352" w:name="_Toc164608650"/>
      <w:bookmarkStart w:id="353" w:name="_Toc150480774"/>
      <w:bookmarkStart w:id="354" w:name="_Toc150509287"/>
      <w:bookmarkStart w:id="355" w:name="_Toc151193706"/>
      <w:bookmarkStart w:id="356" w:name="_Toc151193778"/>
      <w:bookmarkStart w:id="357" w:name="_Toc264969226"/>
      <w:bookmarkStart w:id="358" w:name="_Toc226965809"/>
      <w:bookmarkStart w:id="359" w:name="_Toc150774741"/>
      <w:bookmarkStart w:id="360" w:name="_Toc164229231"/>
      <w:bookmarkStart w:id="361" w:name="_Toc305158804"/>
      <w:bookmarkStart w:id="362" w:name="_Toc226309780"/>
      <w:bookmarkStart w:id="363" w:name="_Toc151190163"/>
      <w:bookmarkStart w:id="364" w:name="_Toc195842901"/>
      <w:bookmarkStart w:id="365" w:name="_Toc265228374"/>
      <w:bookmarkStart w:id="366" w:name="_Toc520356161"/>
      <w:bookmarkStart w:id="367" w:name="_Toc151193850"/>
      <w:bookmarkStart w:id="368" w:name="_Toc150774636"/>
      <w:bookmarkStart w:id="369" w:name="_Toc127151536"/>
      <w:bookmarkStart w:id="370" w:name="_Toc164608805"/>
      <w:bookmarkStart w:id="371" w:name="_Toc164351630"/>
      <w:bookmarkStart w:id="372" w:name="_Toc226965726"/>
      <w:bookmarkStart w:id="373" w:name="_Toc127151737"/>
      <w:bookmarkStart w:id="374" w:name="_Toc151193634"/>
      <w:bookmarkStart w:id="375" w:name="_Toc226337232"/>
      <w:bookmarkStart w:id="376" w:name="_Toc151193924"/>
      <w:bookmarkStart w:id="377" w:name="_Toc142311038"/>
      <w:r>
        <w:rPr>
          <w:sz w:val="24"/>
        </w:rPr>
        <w:t>投标截止</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时间</w:t>
      </w:r>
      <w:r>
        <w:rPr>
          <w:rFonts w:hint="eastAsia"/>
          <w:b/>
          <w:bCs/>
          <w:sz w:val="24"/>
        </w:rPr>
        <w:t>（本项目为纸质文件投标）</w:t>
      </w:r>
    </w:p>
    <w:p w14:paraId="270A64B2">
      <w:pPr>
        <w:numPr>
          <w:ilvl w:val="1"/>
          <w:numId w:val="14"/>
        </w:numPr>
        <w:tabs>
          <w:tab w:val="left" w:pos="1080"/>
          <w:tab w:val="left" w:pos="2014"/>
        </w:tabs>
        <w:snapToGrid w:val="0"/>
        <w:spacing w:line="360" w:lineRule="auto"/>
        <w:ind w:left="1077" w:hanging="720"/>
        <w:rPr>
          <w:sz w:val="24"/>
        </w:rPr>
      </w:pPr>
      <w:r>
        <w:rPr>
          <w:rFonts w:hint="eastAsia"/>
          <w:sz w:val="24"/>
        </w:rPr>
        <w:t>电子标方式（不适用）</w:t>
      </w:r>
    </w:p>
    <w:p w14:paraId="06314B3D">
      <w:pPr>
        <w:numPr>
          <w:ilvl w:val="2"/>
          <w:numId w:val="14"/>
        </w:numPr>
        <w:snapToGrid w:val="0"/>
        <w:spacing w:line="360" w:lineRule="auto"/>
        <w:rPr>
          <w:sz w:val="24"/>
        </w:rPr>
      </w:pPr>
      <w:r>
        <w:rPr>
          <w:rFonts w:hint="eastAsia"/>
          <w:sz w:val="24"/>
        </w:rPr>
        <w:t>参选人</w:t>
      </w:r>
      <w:r>
        <w:rPr>
          <w:sz w:val="24"/>
        </w:rPr>
        <w:t>应在</w:t>
      </w:r>
      <w:r>
        <w:rPr>
          <w:rFonts w:hint="eastAsia"/>
          <w:sz w:val="24"/>
        </w:rPr>
        <w:t>比选文件</w:t>
      </w:r>
      <w:r>
        <w:rPr>
          <w:sz w:val="24"/>
        </w:rPr>
        <w:t>要求提交</w:t>
      </w:r>
      <w:r>
        <w:rPr>
          <w:rFonts w:hint="eastAsia"/>
          <w:sz w:val="24"/>
        </w:rPr>
        <w:t>响应文件</w:t>
      </w:r>
      <w:r>
        <w:rPr>
          <w:sz w:val="24"/>
        </w:rPr>
        <w:t>截止时间前，将电子</w:t>
      </w:r>
      <w:r>
        <w:rPr>
          <w:rFonts w:hint="eastAsia"/>
          <w:sz w:val="24"/>
        </w:rPr>
        <w:t>响应文件</w:t>
      </w:r>
      <w:r>
        <w:rPr>
          <w:sz w:val="24"/>
        </w:rPr>
        <w:t>提交至电子交易平台。</w:t>
      </w:r>
    </w:p>
    <w:p w14:paraId="37DA6AF6">
      <w:pPr>
        <w:numPr>
          <w:ilvl w:val="1"/>
          <w:numId w:val="14"/>
        </w:numPr>
        <w:tabs>
          <w:tab w:val="left" w:pos="1080"/>
          <w:tab w:val="left" w:pos="2014"/>
        </w:tabs>
        <w:snapToGrid w:val="0"/>
        <w:spacing w:line="360" w:lineRule="auto"/>
        <w:ind w:left="1077" w:hanging="720"/>
        <w:rPr>
          <w:sz w:val="24"/>
        </w:rPr>
      </w:pPr>
      <w:r>
        <w:rPr>
          <w:rFonts w:hint="eastAsia"/>
          <w:sz w:val="24"/>
        </w:rPr>
        <w:t>电子化与线下流程结合方式</w:t>
      </w:r>
    </w:p>
    <w:p w14:paraId="0BEA600D">
      <w:pPr>
        <w:numPr>
          <w:ilvl w:val="2"/>
          <w:numId w:val="14"/>
        </w:numPr>
        <w:snapToGrid w:val="0"/>
        <w:spacing w:line="360" w:lineRule="auto"/>
        <w:rPr>
          <w:sz w:val="24"/>
        </w:rPr>
      </w:pPr>
      <w:r>
        <w:rPr>
          <w:sz w:val="24"/>
        </w:rPr>
        <w:t>采购代理机构接收</w:t>
      </w:r>
      <w:r>
        <w:rPr>
          <w:rFonts w:hint="eastAsia"/>
          <w:sz w:val="24"/>
        </w:rPr>
        <w:t>响应文件</w:t>
      </w:r>
      <w:r>
        <w:rPr>
          <w:sz w:val="24"/>
        </w:rPr>
        <w:t>的</w:t>
      </w:r>
      <w:r>
        <w:rPr>
          <w:b/>
          <w:sz w:val="24"/>
        </w:rPr>
        <w:t>截止时间及地点见</w:t>
      </w:r>
      <w:r>
        <w:rPr>
          <w:rFonts w:hint="eastAsia"/>
          <w:b/>
          <w:sz w:val="24"/>
        </w:rPr>
        <w:t>比选公告</w:t>
      </w:r>
      <w:r>
        <w:rPr>
          <w:sz w:val="24"/>
        </w:rPr>
        <w:t>。</w:t>
      </w:r>
    </w:p>
    <w:p w14:paraId="3552AD8E">
      <w:pPr>
        <w:numPr>
          <w:ilvl w:val="2"/>
          <w:numId w:val="14"/>
        </w:numPr>
        <w:snapToGrid w:val="0"/>
        <w:spacing w:line="360" w:lineRule="auto"/>
        <w:rPr>
          <w:sz w:val="24"/>
        </w:rPr>
      </w:pPr>
      <w:r>
        <w:rPr>
          <w:rFonts w:hint="eastAsia"/>
          <w:sz w:val="24"/>
        </w:rPr>
        <w:t>响应文件</w:t>
      </w:r>
      <w:r>
        <w:rPr>
          <w:sz w:val="24"/>
        </w:rPr>
        <w:t>须按照</w:t>
      </w:r>
      <w:r>
        <w:rPr>
          <w:rFonts w:hint="eastAsia"/>
          <w:sz w:val="24"/>
        </w:rPr>
        <w:t>比选文件</w:t>
      </w:r>
      <w:r>
        <w:rPr>
          <w:sz w:val="24"/>
        </w:rPr>
        <w:t>规定的时间、地点送达，</w:t>
      </w:r>
      <w:r>
        <w:rPr>
          <w:b/>
          <w:sz w:val="24"/>
        </w:rPr>
        <w:t>在</w:t>
      </w:r>
      <w:r>
        <w:rPr>
          <w:rFonts w:hint="eastAsia"/>
          <w:b/>
          <w:sz w:val="24"/>
        </w:rPr>
        <w:t>递交</w:t>
      </w:r>
      <w:r>
        <w:rPr>
          <w:b/>
          <w:sz w:val="24"/>
        </w:rPr>
        <w:t>截止时间以后送达的</w:t>
      </w:r>
      <w:r>
        <w:rPr>
          <w:rFonts w:hint="eastAsia"/>
          <w:b/>
          <w:sz w:val="24"/>
        </w:rPr>
        <w:t>响应文件</w:t>
      </w:r>
      <w:r>
        <w:rPr>
          <w:b/>
          <w:sz w:val="24"/>
        </w:rPr>
        <w:t>，为无效</w:t>
      </w:r>
      <w:r>
        <w:rPr>
          <w:rFonts w:hint="eastAsia"/>
          <w:b/>
          <w:sz w:val="24"/>
        </w:rPr>
        <w:t>响应文件</w:t>
      </w:r>
      <w:r>
        <w:rPr>
          <w:sz w:val="24"/>
        </w:rPr>
        <w:t>，采购代理机构应当拒收。</w:t>
      </w:r>
    </w:p>
    <w:p w14:paraId="3B45868C">
      <w:pPr>
        <w:numPr>
          <w:ilvl w:val="2"/>
          <w:numId w:val="14"/>
        </w:numPr>
        <w:snapToGrid w:val="0"/>
        <w:spacing w:line="360" w:lineRule="auto"/>
        <w:rPr>
          <w:sz w:val="24"/>
        </w:rPr>
      </w:pPr>
      <w:r>
        <w:rPr>
          <w:sz w:val="24"/>
        </w:rPr>
        <w:t>采购代理机构可以依法酌情延长投标截止时间。在此情况下，采购人和</w:t>
      </w:r>
      <w:r>
        <w:rPr>
          <w:rFonts w:hint="eastAsia"/>
          <w:sz w:val="24"/>
        </w:rPr>
        <w:t>参选人</w:t>
      </w:r>
      <w:r>
        <w:rPr>
          <w:sz w:val="24"/>
        </w:rPr>
        <w:t>受投标截止时间制约的所有权利和义务均应延长至新的投标截止时间。</w:t>
      </w:r>
    </w:p>
    <w:p w14:paraId="69548FAE">
      <w:pPr>
        <w:numPr>
          <w:ilvl w:val="0"/>
          <w:numId w:val="14"/>
        </w:numPr>
        <w:tabs>
          <w:tab w:val="left" w:pos="360"/>
        </w:tabs>
        <w:snapToGrid w:val="0"/>
        <w:spacing w:line="360" w:lineRule="auto"/>
        <w:ind w:left="357" w:hanging="357"/>
        <w:outlineLvl w:val="1"/>
        <w:rPr>
          <w:sz w:val="24"/>
        </w:rPr>
      </w:pPr>
      <w:bookmarkStart w:id="378" w:name="_Toc150774742"/>
      <w:bookmarkStart w:id="379" w:name="_Toc164229378"/>
      <w:bookmarkStart w:id="380" w:name="_Toc127151537"/>
      <w:bookmarkStart w:id="381" w:name="_Toc151193851"/>
      <w:bookmarkStart w:id="382" w:name="_Toc164351631"/>
      <w:bookmarkStart w:id="383" w:name="_Toc195842902"/>
      <w:bookmarkStart w:id="384" w:name="_Toc151193635"/>
      <w:bookmarkStart w:id="385" w:name="_Toc164608651"/>
      <w:bookmarkStart w:id="386" w:name="_Toc226965810"/>
      <w:bookmarkStart w:id="387" w:name="_Toc226337233"/>
      <w:bookmarkStart w:id="388" w:name="_Toc127161451"/>
      <w:bookmarkStart w:id="389" w:name="_Toc150509288"/>
      <w:bookmarkStart w:id="390" w:name="_Toc520356162"/>
      <w:bookmarkStart w:id="391" w:name="_Toc305158879"/>
      <w:bookmarkStart w:id="392" w:name="_Toc305158805"/>
      <w:bookmarkStart w:id="393" w:name="_Toc226965727"/>
      <w:bookmarkStart w:id="394" w:name="_Toc264969227"/>
      <w:bookmarkStart w:id="395" w:name="_Toc164229232"/>
      <w:bookmarkStart w:id="396" w:name="_Toc149720830"/>
      <w:bookmarkStart w:id="397" w:name="_Toc150480775"/>
      <w:bookmarkStart w:id="398" w:name="_Toc142311039"/>
      <w:bookmarkStart w:id="399" w:name="_Toc151190164"/>
      <w:bookmarkStart w:id="400" w:name="_Toc127151738"/>
      <w:bookmarkStart w:id="401" w:name="_Toc226309781"/>
      <w:bookmarkStart w:id="402" w:name="_Toc164608806"/>
      <w:bookmarkStart w:id="403" w:name="_Toc150774637"/>
      <w:bookmarkStart w:id="404" w:name="_Toc151193779"/>
      <w:bookmarkStart w:id="405" w:name="_Toc151193707"/>
      <w:bookmarkStart w:id="406" w:name="_Toc265228375"/>
      <w:bookmarkStart w:id="407" w:name="_Toc151193925"/>
      <w:r>
        <w:rPr>
          <w:rFonts w:hint="eastAsia"/>
          <w:sz w:val="24"/>
        </w:rPr>
        <w:t>响应文件</w:t>
      </w:r>
      <w:r>
        <w:rPr>
          <w:sz w:val="24"/>
        </w:rPr>
        <w:t>的修改与撤回</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C73568A">
      <w:pPr>
        <w:numPr>
          <w:ilvl w:val="1"/>
          <w:numId w:val="14"/>
        </w:numPr>
        <w:tabs>
          <w:tab w:val="left" w:pos="1080"/>
          <w:tab w:val="left" w:pos="2014"/>
        </w:tabs>
        <w:snapToGrid w:val="0"/>
        <w:spacing w:line="360" w:lineRule="auto"/>
        <w:ind w:left="1077" w:hanging="720"/>
        <w:rPr>
          <w:sz w:val="24"/>
        </w:rPr>
      </w:pPr>
      <w:r>
        <w:rPr>
          <w:rFonts w:hint="eastAsia"/>
          <w:sz w:val="24"/>
        </w:rPr>
        <w:t>电子标方式（不适用）</w:t>
      </w:r>
    </w:p>
    <w:p w14:paraId="613ED0BF">
      <w:pPr>
        <w:numPr>
          <w:ilvl w:val="2"/>
          <w:numId w:val="14"/>
        </w:numPr>
        <w:snapToGrid w:val="0"/>
        <w:spacing w:line="360" w:lineRule="auto"/>
        <w:rPr>
          <w:sz w:val="24"/>
        </w:rPr>
      </w:pPr>
      <w:r>
        <w:rPr>
          <w:sz w:val="24"/>
        </w:rPr>
        <w:t>投标截止时间前，</w:t>
      </w:r>
      <w:r>
        <w:rPr>
          <w:rFonts w:hint="eastAsia"/>
          <w:sz w:val="24"/>
        </w:rPr>
        <w:t>参选人</w:t>
      </w:r>
      <w:r>
        <w:rPr>
          <w:sz w:val="24"/>
        </w:rPr>
        <w:t>可以通过电子交易平台对所提交的</w:t>
      </w:r>
      <w:r>
        <w:rPr>
          <w:rFonts w:hint="eastAsia"/>
          <w:sz w:val="24"/>
        </w:rPr>
        <w:t>响应文件</w:t>
      </w:r>
      <w:r>
        <w:rPr>
          <w:sz w:val="24"/>
        </w:rPr>
        <w:t>进行补充、修改或者撤回。</w:t>
      </w:r>
      <w:r>
        <w:rPr>
          <w:rFonts w:hint="eastAsia"/>
          <w:sz w:val="24"/>
        </w:rPr>
        <w:t>比选保证金的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p>
    <w:p w14:paraId="1EA2124B">
      <w:pPr>
        <w:numPr>
          <w:ilvl w:val="2"/>
          <w:numId w:val="14"/>
        </w:numPr>
        <w:snapToGrid w:val="0"/>
        <w:spacing w:line="360" w:lineRule="auto"/>
        <w:rPr>
          <w:sz w:val="24"/>
        </w:rPr>
      </w:pPr>
      <w:r>
        <w:rPr>
          <w:rFonts w:hint="eastAsia"/>
          <w:sz w:val="24"/>
        </w:rPr>
        <w:t>参选人</w:t>
      </w:r>
      <w:r>
        <w:rPr>
          <w:sz w:val="24"/>
        </w:rPr>
        <w:t>对</w:t>
      </w:r>
      <w:r>
        <w:rPr>
          <w:rFonts w:hint="eastAsia"/>
          <w:sz w:val="24"/>
        </w:rPr>
        <w:t>响应文件</w:t>
      </w:r>
      <w:r>
        <w:rPr>
          <w:sz w:val="24"/>
        </w:rPr>
        <w:t>的补充、修改的内容应当按照</w:t>
      </w:r>
      <w:r>
        <w:rPr>
          <w:rFonts w:hint="eastAsia"/>
          <w:sz w:val="24"/>
        </w:rPr>
        <w:t>比选文件</w:t>
      </w:r>
      <w:r>
        <w:rPr>
          <w:sz w:val="24"/>
        </w:rPr>
        <w:t>要求签署、盖章，作为</w:t>
      </w:r>
      <w:r>
        <w:rPr>
          <w:rFonts w:hint="eastAsia"/>
          <w:sz w:val="24"/>
        </w:rPr>
        <w:t>响应文件</w:t>
      </w:r>
      <w:r>
        <w:rPr>
          <w:sz w:val="24"/>
        </w:rPr>
        <w:t>的组成部分。</w:t>
      </w:r>
    </w:p>
    <w:p w14:paraId="03FC0794">
      <w:pPr>
        <w:numPr>
          <w:ilvl w:val="1"/>
          <w:numId w:val="14"/>
        </w:numPr>
        <w:tabs>
          <w:tab w:val="left" w:pos="1080"/>
          <w:tab w:val="left" w:pos="2014"/>
        </w:tabs>
        <w:snapToGrid w:val="0"/>
        <w:spacing w:line="360" w:lineRule="auto"/>
        <w:ind w:left="1077" w:hanging="720"/>
        <w:rPr>
          <w:sz w:val="24"/>
        </w:rPr>
      </w:pPr>
      <w:r>
        <w:rPr>
          <w:rFonts w:hint="eastAsia"/>
          <w:sz w:val="24"/>
        </w:rPr>
        <w:t>电子化与线下流程结合方式</w:t>
      </w:r>
    </w:p>
    <w:p w14:paraId="35A35D6C">
      <w:pPr>
        <w:numPr>
          <w:ilvl w:val="2"/>
          <w:numId w:val="14"/>
        </w:numPr>
        <w:snapToGrid w:val="0"/>
        <w:spacing w:line="360" w:lineRule="auto"/>
        <w:rPr>
          <w:sz w:val="24"/>
        </w:rPr>
      </w:pPr>
      <w:r>
        <w:rPr>
          <w:rFonts w:hint="eastAsia"/>
          <w:sz w:val="24"/>
        </w:rPr>
        <w:t>参选人</w:t>
      </w:r>
      <w:r>
        <w:rPr>
          <w:sz w:val="24"/>
        </w:rPr>
        <w:t>可以在投标截止时间前，对所递交的</w:t>
      </w:r>
      <w:r>
        <w:rPr>
          <w:rFonts w:hint="eastAsia"/>
          <w:sz w:val="24"/>
        </w:rPr>
        <w:t>响应文件</w:t>
      </w:r>
      <w:r>
        <w:rPr>
          <w:sz w:val="24"/>
        </w:rPr>
        <w:t>进行补充、修改或者撤回，并以书面形式通知采购代理机构。</w:t>
      </w:r>
    </w:p>
    <w:p w14:paraId="658E9195">
      <w:pPr>
        <w:numPr>
          <w:ilvl w:val="2"/>
          <w:numId w:val="14"/>
        </w:numPr>
        <w:snapToGrid w:val="0"/>
        <w:spacing w:line="360" w:lineRule="auto"/>
        <w:rPr>
          <w:sz w:val="24"/>
        </w:rPr>
      </w:pPr>
      <w:r>
        <w:rPr>
          <w:rFonts w:hint="eastAsia"/>
          <w:sz w:val="24"/>
        </w:rPr>
        <w:t>参选人</w:t>
      </w:r>
      <w:r>
        <w:rPr>
          <w:sz w:val="24"/>
        </w:rPr>
        <w:t>撤回投标的要求应由</w:t>
      </w:r>
      <w:r>
        <w:rPr>
          <w:rFonts w:hint="eastAsia"/>
          <w:sz w:val="24"/>
        </w:rPr>
        <w:t>参选人</w:t>
      </w:r>
      <w:r>
        <w:rPr>
          <w:sz w:val="24"/>
        </w:rPr>
        <w:t>法定代表人或</w:t>
      </w:r>
      <w:r>
        <w:rPr>
          <w:rFonts w:hint="eastAsia"/>
          <w:sz w:val="24"/>
        </w:rPr>
        <w:t>参选人</w:t>
      </w:r>
      <w:r>
        <w:rPr>
          <w:sz w:val="24"/>
        </w:rPr>
        <w:t>代表签署，补充、修改</w:t>
      </w:r>
      <w:r>
        <w:rPr>
          <w:rFonts w:hint="eastAsia"/>
          <w:sz w:val="24"/>
        </w:rPr>
        <w:t>响应文件</w:t>
      </w:r>
      <w:r>
        <w:rPr>
          <w:sz w:val="24"/>
        </w:rPr>
        <w:t>的书面材料，应当按照</w:t>
      </w:r>
      <w:r>
        <w:rPr>
          <w:rFonts w:hint="eastAsia"/>
          <w:sz w:val="24"/>
        </w:rPr>
        <w:t>比选文件</w:t>
      </w:r>
      <w:r>
        <w:rPr>
          <w:sz w:val="24"/>
        </w:rPr>
        <w:t>要求签署、盖章，作为</w:t>
      </w:r>
      <w:r>
        <w:rPr>
          <w:rFonts w:hint="eastAsia"/>
          <w:sz w:val="24"/>
        </w:rPr>
        <w:t>响应文件</w:t>
      </w:r>
      <w:r>
        <w:rPr>
          <w:sz w:val="24"/>
        </w:rPr>
        <w:t>的组成部分，密封送达采购代理机构，同时应在封套上标明“修改</w:t>
      </w:r>
      <w:r>
        <w:rPr>
          <w:rFonts w:hint="eastAsia"/>
          <w:sz w:val="24"/>
        </w:rPr>
        <w:t>响应文件</w:t>
      </w:r>
      <w:r>
        <w:rPr>
          <w:sz w:val="24"/>
        </w:rPr>
        <w:t>（并注明项目编号、分包（如适用））”和“在（开标时间）之前不得启封”的字样。</w:t>
      </w:r>
    </w:p>
    <w:p w14:paraId="4952AEF3">
      <w:pPr>
        <w:numPr>
          <w:ilvl w:val="2"/>
          <w:numId w:val="14"/>
        </w:numPr>
        <w:snapToGrid w:val="0"/>
        <w:spacing w:line="360" w:lineRule="auto"/>
        <w:rPr>
          <w:sz w:val="24"/>
        </w:rPr>
      </w:pPr>
      <w:r>
        <w:rPr>
          <w:sz w:val="24"/>
        </w:rPr>
        <w:t>从投标截止时间至</w:t>
      </w:r>
      <w:r>
        <w:rPr>
          <w:rFonts w:hint="eastAsia"/>
          <w:sz w:val="24"/>
        </w:rPr>
        <w:t>比选有效期</w:t>
      </w:r>
      <w:r>
        <w:rPr>
          <w:sz w:val="24"/>
        </w:rPr>
        <w:t>截止前，</w:t>
      </w:r>
      <w:r>
        <w:rPr>
          <w:rFonts w:hint="eastAsia"/>
          <w:sz w:val="24"/>
        </w:rPr>
        <w:t>参选人</w:t>
      </w:r>
      <w:r>
        <w:rPr>
          <w:sz w:val="24"/>
        </w:rPr>
        <w:t>不得撤销或修改其投标，否则其</w:t>
      </w:r>
      <w:r>
        <w:rPr>
          <w:rFonts w:hint="eastAsia"/>
          <w:sz w:val="24"/>
        </w:rPr>
        <w:t>比选保证金</w:t>
      </w:r>
      <w:r>
        <w:rPr>
          <w:sz w:val="24"/>
        </w:rPr>
        <w:t>不予退回。</w:t>
      </w:r>
    </w:p>
    <w:p w14:paraId="3B499DA7">
      <w:pPr>
        <w:spacing w:line="360" w:lineRule="auto"/>
        <w:rPr>
          <w:sz w:val="24"/>
        </w:rPr>
      </w:pPr>
    </w:p>
    <w:p w14:paraId="45905A1A">
      <w:pPr>
        <w:pStyle w:val="3"/>
        <w:spacing w:before="0" w:line="360" w:lineRule="auto"/>
        <w:rPr>
          <w:rFonts w:ascii="Times New Roman" w:hAnsi="Times New Roman" w:eastAsia="宋体"/>
          <w:sz w:val="28"/>
        </w:rPr>
      </w:pPr>
      <w:bookmarkStart w:id="408" w:name="_Toc226309782"/>
      <w:bookmarkStart w:id="409" w:name="_Toc151193780"/>
      <w:bookmarkStart w:id="410" w:name="_Toc151193852"/>
      <w:bookmarkStart w:id="411" w:name="_Toc151190165"/>
      <w:bookmarkStart w:id="412" w:name="_Toc151193636"/>
      <w:bookmarkStart w:id="413" w:name="_Toc226337234"/>
      <w:bookmarkStart w:id="414" w:name="_Toc305158806"/>
      <w:bookmarkStart w:id="415" w:name="_Toc151193708"/>
      <w:bookmarkStart w:id="416" w:name="_Toc520356163"/>
      <w:bookmarkStart w:id="417" w:name="_Toc264969228"/>
      <w:bookmarkStart w:id="418" w:name="_Toc226965728"/>
      <w:bookmarkStart w:id="419" w:name="_Toc195842903"/>
      <w:bookmarkStart w:id="420" w:name="_Toc305158880"/>
      <w:bookmarkStart w:id="421" w:name="_Toc226965811"/>
      <w:bookmarkStart w:id="422" w:name="_Toc265228376"/>
      <w:bookmarkStart w:id="423" w:name="_Toc150480776"/>
      <w:bookmarkStart w:id="424" w:name="_Toc127151538"/>
      <w:bookmarkStart w:id="425" w:name="_Toc151193926"/>
      <w:bookmarkStart w:id="426" w:name="_Toc142311040"/>
      <w:bookmarkStart w:id="427" w:name="_Toc150774743"/>
      <w:bookmarkStart w:id="428" w:name="_Toc150774638"/>
      <w:bookmarkStart w:id="429" w:name="_Toc150509289"/>
      <w:r>
        <w:rPr>
          <w:rFonts w:ascii="Times New Roman" w:hAnsi="Times New Roman" w:eastAsia="宋体"/>
          <w:sz w:val="28"/>
        </w:rPr>
        <w:t>五   开标、资格审查及评标</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4EE1AEA">
      <w:pPr>
        <w:numPr>
          <w:ilvl w:val="0"/>
          <w:numId w:val="14"/>
        </w:numPr>
        <w:tabs>
          <w:tab w:val="left" w:pos="360"/>
        </w:tabs>
        <w:snapToGrid w:val="0"/>
        <w:spacing w:line="360" w:lineRule="auto"/>
        <w:ind w:left="357" w:hanging="357"/>
        <w:outlineLvl w:val="1"/>
        <w:rPr>
          <w:sz w:val="24"/>
        </w:rPr>
      </w:pPr>
      <w:bookmarkStart w:id="430" w:name="_Toc305158807"/>
      <w:bookmarkStart w:id="431" w:name="_Toc151193927"/>
      <w:bookmarkStart w:id="432" w:name="_Toc164229234"/>
      <w:bookmarkStart w:id="433" w:name="_Toc164351633"/>
      <w:bookmarkStart w:id="434" w:name="_Toc164229380"/>
      <w:bookmarkStart w:id="435" w:name="_Toc151193781"/>
      <w:bookmarkStart w:id="436" w:name="_Toc127151740"/>
      <w:bookmarkStart w:id="437" w:name="_Toc164608653"/>
      <w:bookmarkStart w:id="438" w:name="_Toc226309783"/>
      <w:bookmarkStart w:id="439" w:name="_Toc127161453"/>
      <w:bookmarkStart w:id="440" w:name="_Toc164608808"/>
      <w:bookmarkStart w:id="441" w:name="_Toc150774744"/>
      <w:bookmarkStart w:id="442" w:name="_Toc149720832"/>
      <w:bookmarkStart w:id="443" w:name="_Toc127151539"/>
      <w:bookmarkStart w:id="444" w:name="_Toc150774639"/>
      <w:bookmarkStart w:id="445" w:name="_Toc142311041"/>
      <w:bookmarkStart w:id="446" w:name="_Toc520356164"/>
      <w:bookmarkStart w:id="447" w:name="_Toc226337235"/>
      <w:bookmarkStart w:id="448" w:name="_Toc226965812"/>
      <w:bookmarkStart w:id="449" w:name="_Toc265228377"/>
      <w:bookmarkStart w:id="450" w:name="_Toc151190166"/>
      <w:bookmarkStart w:id="451" w:name="_Toc226965729"/>
      <w:bookmarkStart w:id="452" w:name="_Toc305158881"/>
      <w:bookmarkStart w:id="453" w:name="_Toc151193853"/>
      <w:bookmarkStart w:id="454" w:name="_Toc151193637"/>
      <w:bookmarkStart w:id="455" w:name="_Toc195842904"/>
      <w:bookmarkStart w:id="456" w:name="_Toc150480777"/>
      <w:bookmarkStart w:id="457" w:name="_Toc151193709"/>
      <w:bookmarkStart w:id="458" w:name="_Toc264969229"/>
      <w:bookmarkStart w:id="459" w:name="_Toc150509290"/>
      <w:r>
        <w:rPr>
          <w:sz w:val="24"/>
        </w:rPr>
        <w:t>开标</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5527C2B">
      <w:pPr>
        <w:numPr>
          <w:ilvl w:val="1"/>
          <w:numId w:val="14"/>
        </w:numPr>
        <w:tabs>
          <w:tab w:val="left" w:pos="1080"/>
          <w:tab w:val="left" w:pos="2014"/>
        </w:tabs>
        <w:snapToGrid w:val="0"/>
        <w:spacing w:line="360" w:lineRule="auto"/>
        <w:ind w:left="1077" w:hanging="720"/>
        <w:rPr>
          <w:sz w:val="24"/>
        </w:rPr>
      </w:pPr>
      <w:r>
        <w:rPr>
          <w:rFonts w:hint="eastAsia"/>
          <w:sz w:val="24"/>
        </w:rPr>
        <w:t>电子标方式（不适用）</w:t>
      </w:r>
    </w:p>
    <w:p w14:paraId="110D00CB">
      <w:pPr>
        <w:numPr>
          <w:ilvl w:val="2"/>
          <w:numId w:val="14"/>
        </w:numPr>
        <w:snapToGrid w:val="0"/>
        <w:spacing w:line="360" w:lineRule="auto"/>
        <w:rPr>
          <w:sz w:val="24"/>
        </w:rPr>
      </w:pPr>
      <w:r>
        <w:rPr>
          <w:sz w:val="24"/>
        </w:rPr>
        <w:t>采购人或采购代理机构将按</w:t>
      </w:r>
      <w:r>
        <w:rPr>
          <w:rFonts w:hint="eastAsia"/>
          <w:sz w:val="24"/>
        </w:rPr>
        <w:t>比选文件</w:t>
      </w:r>
      <w:r>
        <w:rPr>
          <w:sz w:val="24"/>
        </w:rPr>
        <w:t>的规定，在投标截止时间的同一时间和</w:t>
      </w:r>
      <w:r>
        <w:rPr>
          <w:rFonts w:hint="eastAsia"/>
          <w:sz w:val="24"/>
        </w:rPr>
        <w:t>比选文件</w:t>
      </w:r>
      <w:r>
        <w:rPr>
          <w:sz w:val="24"/>
        </w:rPr>
        <w:t>预先确定的地点组织开标。</w:t>
      </w:r>
    </w:p>
    <w:p w14:paraId="0A27E562">
      <w:pPr>
        <w:numPr>
          <w:ilvl w:val="2"/>
          <w:numId w:val="14"/>
        </w:numPr>
        <w:snapToGrid w:val="0"/>
        <w:spacing w:line="360" w:lineRule="auto"/>
        <w:rPr>
          <w:sz w:val="24"/>
        </w:rPr>
      </w:pPr>
      <w:r>
        <w:rPr>
          <w:sz w:val="24"/>
        </w:rPr>
        <w:t>本项目开标使用电子交易平台。</w:t>
      </w:r>
      <w:r>
        <w:rPr>
          <w:rFonts w:hint="eastAsia"/>
          <w:sz w:val="24"/>
        </w:rPr>
        <w:t>参选人</w:t>
      </w:r>
      <w:r>
        <w:rPr>
          <w:sz w:val="24"/>
        </w:rPr>
        <w:t>应在规定的时间内对</w:t>
      </w:r>
      <w:r>
        <w:rPr>
          <w:rFonts w:hint="eastAsia"/>
          <w:sz w:val="24"/>
        </w:rPr>
        <w:t>响应文件</w:t>
      </w:r>
      <w:r>
        <w:rPr>
          <w:sz w:val="24"/>
        </w:rPr>
        <w:t>进行解密，因非系统原因导致的解密失败，视为</w:t>
      </w:r>
      <w:r>
        <w:rPr>
          <w:b/>
          <w:sz w:val="24"/>
        </w:rPr>
        <w:t>投标无效</w:t>
      </w:r>
      <w:r>
        <w:rPr>
          <w:sz w:val="24"/>
        </w:rPr>
        <w:t>。</w:t>
      </w:r>
    </w:p>
    <w:p w14:paraId="4CB1EA7F">
      <w:pPr>
        <w:numPr>
          <w:ilvl w:val="2"/>
          <w:numId w:val="14"/>
        </w:numPr>
        <w:snapToGrid w:val="0"/>
        <w:spacing w:line="360" w:lineRule="auto"/>
        <w:rPr>
          <w:sz w:val="24"/>
        </w:rPr>
      </w:pPr>
      <w:r>
        <w:rPr>
          <w:sz w:val="24"/>
        </w:rPr>
        <w:t>开标过程将使用电子交易平台宣布</w:t>
      </w:r>
      <w:r>
        <w:rPr>
          <w:rFonts w:hint="eastAsia"/>
          <w:sz w:val="24"/>
        </w:rPr>
        <w:t>参选人</w:t>
      </w:r>
      <w:r>
        <w:rPr>
          <w:sz w:val="24"/>
        </w:rPr>
        <w:t>名称、投标价格和</w:t>
      </w:r>
      <w:r>
        <w:rPr>
          <w:rFonts w:hint="eastAsia"/>
          <w:sz w:val="24"/>
        </w:rPr>
        <w:t>比选文件</w:t>
      </w:r>
      <w:r>
        <w:rPr>
          <w:sz w:val="24"/>
        </w:rPr>
        <w:t>规定的需要宣布的其他内容并进行记录，并由参加开标的各</w:t>
      </w:r>
      <w:r>
        <w:rPr>
          <w:rFonts w:hint="eastAsia"/>
          <w:sz w:val="24"/>
        </w:rPr>
        <w:t>参选人</w:t>
      </w:r>
      <w:r>
        <w:rPr>
          <w:sz w:val="24"/>
        </w:rPr>
        <w:t>代表确认</w:t>
      </w:r>
      <w:bookmarkStart w:id="460" w:name="_Toc520356165"/>
      <w:r>
        <w:rPr>
          <w:sz w:val="24"/>
        </w:rPr>
        <w:t>。</w:t>
      </w:r>
    </w:p>
    <w:p w14:paraId="27A796F2">
      <w:pPr>
        <w:numPr>
          <w:ilvl w:val="2"/>
          <w:numId w:val="14"/>
        </w:numPr>
        <w:snapToGrid w:val="0"/>
        <w:spacing w:line="360" w:lineRule="auto"/>
        <w:rPr>
          <w:sz w:val="24"/>
        </w:rPr>
      </w:pPr>
      <w:r>
        <w:rPr>
          <w:rFonts w:hint="eastAsia"/>
          <w:sz w:val="24"/>
        </w:rPr>
        <w:t>参选人</w:t>
      </w:r>
      <w:r>
        <w:rPr>
          <w:sz w:val="24"/>
        </w:rPr>
        <w:t>代表对开标过程和开标记录有疑义，以及认为采购人、采购代理机构相关工作人员有需要回避的情形的，应当场提出询问或者回避申请。采购人、采购代理机构对</w:t>
      </w:r>
      <w:r>
        <w:rPr>
          <w:rFonts w:hint="eastAsia"/>
          <w:sz w:val="24"/>
        </w:rPr>
        <w:t>参选人</w:t>
      </w:r>
      <w:r>
        <w:rPr>
          <w:sz w:val="24"/>
        </w:rPr>
        <w:t>代表提出的询问或者回避申请将及时处理。</w:t>
      </w:r>
    </w:p>
    <w:p w14:paraId="37123A40">
      <w:pPr>
        <w:numPr>
          <w:ilvl w:val="1"/>
          <w:numId w:val="14"/>
        </w:numPr>
        <w:tabs>
          <w:tab w:val="left" w:pos="1080"/>
          <w:tab w:val="left" w:pos="2014"/>
        </w:tabs>
        <w:snapToGrid w:val="0"/>
        <w:spacing w:line="360" w:lineRule="auto"/>
        <w:ind w:left="1077" w:hanging="720"/>
        <w:rPr>
          <w:sz w:val="24"/>
        </w:rPr>
      </w:pPr>
      <w:r>
        <w:rPr>
          <w:rFonts w:hint="eastAsia"/>
          <w:sz w:val="24"/>
        </w:rPr>
        <w:t>电子化与线下流程结合方式</w:t>
      </w:r>
    </w:p>
    <w:p w14:paraId="11254BF2">
      <w:pPr>
        <w:numPr>
          <w:ilvl w:val="2"/>
          <w:numId w:val="14"/>
        </w:numPr>
        <w:snapToGrid w:val="0"/>
        <w:spacing w:line="360" w:lineRule="auto"/>
        <w:rPr>
          <w:sz w:val="24"/>
        </w:rPr>
      </w:pPr>
      <w:r>
        <w:rPr>
          <w:sz w:val="24"/>
        </w:rPr>
        <w:t>采购代理机构在</w:t>
      </w:r>
      <w:r>
        <w:rPr>
          <w:rFonts w:hint="eastAsia"/>
          <w:sz w:val="24"/>
        </w:rPr>
        <w:t>比选公告</w:t>
      </w:r>
      <w:r>
        <w:rPr>
          <w:sz w:val="24"/>
        </w:rPr>
        <w:t>中规定的时间和地点组织公开开标，</w:t>
      </w:r>
      <w:r>
        <w:rPr>
          <w:rFonts w:hint="eastAsia"/>
          <w:sz w:val="24"/>
        </w:rPr>
        <w:t>参选人</w:t>
      </w:r>
      <w:r>
        <w:rPr>
          <w:sz w:val="24"/>
        </w:rPr>
        <w:t>可派代表参加开标仪式，并签名报到以证明其出席。</w:t>
      </w:r>
    </w:p>
    <w:p w14:paraId="2171ADBF">
      <w:pPr>
        <w:numPr>
          <w:ilvl w:val="2"/>
          <w:numId w:val="14"/>
        </w:numPr>
        <w:snapToGrid w:val="0"/>
        <w:spacing w:line="360" w:lineRule="auto"/>
        <w:rPr>
          <w:sz w:val="24"/>
        </w:rPr>
      </w:pPr>
      <w:r>
        <w:rPr>
          <w:sz w:val="24"/>
        </w:rPr>
        <w:t>开标时，采购代理机构将当众宣读</w:t>
      </w:r>
      <w:r>
        <w:rPr>
          <w:rFonts w:hint="eastAsia"/>
          <w:sz w:val="24"/>
        </w:rPr>
        <w:t>参选人</w:t>
      </w:r>
      <w:r>
        <w:rPr>
          <w:sz w:val="24"/>
        </w:rPr>
        <w:t>名称、修改或撤回投标的通知、投标价格、折扣、是否提交了</w:t>
      </w:r>
      <w:r>
        <w:rPr>
          <w:rFonts w:hint="eastAsia"/>
          <w:sz w:val="24"/>
        </w:rPr>
        <w:t>比选保证金</w:t>
      </w:r>
      <w:r>
        <w:rPr>
          <w:sz w:val="24"/>
        </w:rPr>
        <w:t>，以及开标一览表中所列的其他内容。开标时当众宣读的</w:t>
      </w:r>
      <w:r>
        <w:rPr>
          <w:rFonts w:hint="eastAsia"/>
          <w:sz w:val="24"/>
        </w:rPr>
        <w:t>参选人</w:t>
      </w:r>
      <w:r>
        <w:rPr>
          <w:sz w:val="24"/>
        </w:rPr>
        <w:t>开标一览表内容与</w:t>
      </w:r>
      <w:r>
        <w:rPr>
          <w:rFonts w:hint="eastAsia"/>
          <w:sz w:val="24"/>
        </w:rPr>
        <w:t>响应文件</w:t>
      </w:r>
      <w:r>
        <w:rPr>
          <w:sz w:val="24"/>
        </w:rPr>
        <w:t>中内容不一致的，以当众宣读的开标一览表为准。</w:t>
      </w:r>
    </w:p>
    <w:p w14:paraId="302CF5B8">
      <w:pPr>
        <w:numPr>
          <w:ilvl w:val="2"/>
          <w:numId w:val="14"/>
        </w:numPr>
        <w:snapToGrid w:val="0"/>
        <w:spacing w:line="360" w:lineRule="auto"/>
        <w:rPr>
          <w:sz w:val="24"/>
        </w:rPr>
      </w:pPr>
      <w:r>
        <w:rPr>
          <w:sz w:val="24"/>
        </w:rPr>
        <w:t>采购代理机构将做开标记录，请到场的</w:t>
      </w:r>
      <w:r>
        <w:rPr>
          <w:rFonts w:hint="eastAsia"/>
          <w:sz w:val="24"/>
        </w:rPr>
        <w:t>参选人</w:t>
      </w:r>
      <w:r>
        <w:rPr>
          <w:sz w:val="24"/>
        </w:rPr>
        <w:t>代表在开标记录上签字确认其投标的唱标内容。</w:t>
      </w:r>
    </w:p>
    <w:p w14:paraId="08709BB8">
      <w:pPr>
        <w:numPr>
          <w:ilvl w:val="2"/>
          <w:numId w:val="14"/>
        </w:numPr>
        <w:snapToGrid w:val="0"/>
        <w:spacing w:line="360" w:lineRule="auto"/>
        <w:rPr>
          <w:sz w:val="24"/>
        </w:rPr>
      </w:pPr>
      <w:r>
        <w:rPr>
          <w:sz w:val="24"/>
        </w:rPr>
        <w:t>项目讲标安排见</w:t>
      </w:r>
      <w:r>
        <w:rPr>
          <w:rFonts w:hint="eastAsia"/>
          <w:sz w:val="24"/>
        </w:rPr>
        <w:t>参选人须知</w:t>
      </w:r>
      <w:r>
        <w:rPr>
          <w:sz w:val="24"/>
        </w:rPr>
        <w:t>资料表第18.2.4条。讲标在开标结束后进行，采用现场讲演结合多媒体演示的形式，</w:t>
      </w:r>
      <w:r>
        <w:rPr>
          <w:rFonts w:hint="eastAsia"/>
          <w:sz w:val="24"/>
        </w:rPr>
        <w:t>参选人</w:t>
      </w:r>
      <w:r>
        <w:rPr>
          <w:sz w:val="24"/>
        </w:rPr>
        <w:t>可就其针对本项目的理解以及相应的实施方案及特点进行阐述。</w:t>
      </w:r>
      <w:r>
        <w:rPr>
          <w:rFonts w:hint="eastAsia"/>
          <w:sz w:val="24"/>
        </w:rPr>
        <w:t>参选人</w:t>
      </w:r>
      <w:r>
        <w:rPr>
          <w:sz w:val="24"/>
        </w:rPr>
        <w:t>须做好相应的准备工作，包括准备陈述词及多媒体演示文档等，演示文档电子版须含在</w:t>
      </w:r>
      <w:r>
        <w:rPr>
          <w:rFonts w:hint="eastAsia"/>
          <w:sz w:val="24"/>
        </w:rPr>
        <w:t>响应文件</w:t>
      </w:r>
      <w:r>
        <w:rPr>
          <w:sz w:val="24"/>
        </w:rPr>
        <w:t>电子文档内，与</w:t>
      </w:r>
      <w:r>
        <w:rPr>
          <w:rFonts w:hint="eastAsia"/>
          <w:sz w:val="24"/>
        </w:rPr>
        <w:t>响应文件</w:t>
      </w:r>
      <w:r>
        <w:rPr>
          <w:sz w:val="24"/>
        </w:rPr>
        <w:t>同时提交。</w:t>
      </w:r>
    </w:p>
    <w:p w14:paraId="2A56CF4C">
      <w:pPr>
        <w:numPr>
          <w:ilvl w:val="1"/>
          <w:numId w:val="14"/>
        </w:numPr>
        <w:tabs>
          <w:tab w:val="left" w:pos="1080"/>
          <w:tab w:val="left" w:pos="2014"/>
        </w:tabs>
        <w:snapToGrid w:val="0"/>
        <w:spacing w:line="360" w:lineRule="auto"/>
        <w:ind w:left="1077" w:hanging="720"/>
        <w:rPr>
          <w:sz w:val="24"/>
        </w:rPr>
      </w:pPr>
      <w:r>
        <w:rPr>
          <w:rFonts w:hint="eastAsia"/>
          <w:sz w:val="24"/>
        </w:rPr>
        <w:t>参选人</w:t>
      </w:r>
      <w:r>
        <w:rPr>
          <w:sz w:val="24"/>
        </w:rPr>
        <w:t>不足3家的，不予开标。</w:t>
      </w:r>
    </w:p>
    <w:p w14:paraId="6E665DE9">
      <w:pPr>
        <w:numPr>
          <w:ilvl w:val="0"/>
          <w:numId w:val="14"/>
        </w:numPr>
        <w:tabs>
          <w:tab w:val="left" w:pos="360"/>
        </w:tabs>
        <w:snapToGrid w:val="0"/>
        <w:spacing w:line="360" w:lineRule="auto"/>
        <w:ind w:left="357" w:hanging="357"/>
        <w:outlineLvl w:val="1"/>
        <w:rPr>
          <w:sz w:val="24"/>
        </w:rPr>
      </w:pPr>
      <w:r>
        <w:rPr>
          <w:sz w:val="24"/>
        </w:rPr>
        <w:t>资格审查</w:t>
      </w:r>
    </w:p>
    <w:p w14:paraId="33DE48ED">
      <w:pPr>
        <w:numPr>
          <w:ilvl w:val="1"/>
          <w:numId w:val="14"/>
        </w:numPr>
        <w:tabs>
          <w:tab w:val="left" w:pos="1080"/>
          <w:tab w:val="left" w:pos="2014"/>
        </w:tabs>
        <w:snapToGrid w:val="0"/>
        <w:spacing w:line="360" w:lineRule="auto"/>
        <w:ind w:left="1077" w:hanging="720"/>
        <w:rPr>
          <w:sz w:val="24"/>
        </w:rPr>
      </w:pPr>
      <w:r>
        <w:rPr>
          <w:sz w:val="24"/>
        </w:rPr>
        <w:t>见第三章《资格审查》。</w:t>
      </w:r>
    </w:p>
    <w:bookmarkEnd w:id="460"/>
    <w:p w14:paraId="1ED7E188">
      <w:pPr>
        <w:numPr>
          <w:ilvl w:val="0"/>
          <w:numId w:val="14"/>
        </w:numPr>
        <w:tabs>
          <w:tab w:val="left" w:pos="360"/>
        </w:tabs>
        <w:snapToGrid w:val="0"/>
        <w:spacing w:line="360" w:lineRule="auto"/>
        <w:ind w:left="357" w:hanging="357"/>
        <w:outlineLvl w:val="1"/>
        <w:rPr>
          <w:sz w:val="24"/>
        </w:rPr>
      </w:pPr>
      <w:bookmarkStart w:id="461" w:name="_Toc142311042"/>
      <w:bookmarkStart w:id="462" w:name="_Toc151193928"/>
      <w:bookmarkStart w:id="463" w:name="_Toc305158882"/>
      <w:bookmarkStart w:id="464" w:name="_Toc164351634"/>
      <w:bookmarkStart w:id="465" w:name="_Toc164608809"/>
      <w:bookmarkStart w:id="466" w:name="_Toc150480778"/>
      <w:bookmarkStart w:id="467" w:name="_Toc264969230"/>
      <w:bookmarkStart w:id="468" w:name="_Toc150774640"/>
      <w:bookmarkStart w:id="469" w:name="_Toc151193782"/>
      <w:bookmarkStart w:id="470" w:name="_Toc164229381"/>
      <w:bookmarkStart w:id="471" w:name="_Toc226337236"/>
      <w:bookmarkStart w:id="472" w:name="_Toc265228378"/>
      <w:bookmarkStart w:id="473" w:name="_Toc195842905"/>
      <w:bookmarkStart w:id="474" w:name="_Toc305158808"/>
      <w:bookmarkStart w:id="475" w:name="_Toc127151540"/>
      <w:bookmarkStart w:id="476" w:name="_Toc226309784"/>
      <w:bookmarkStart w:id="477" w:name="_Toc164229235"/>
      <w:bookmarkStart w:id="478" w:name="_Toc151193638"/>
      <w:bookmarkStart w:id="479" w:name="_Toc149720833"/>
      <w:bookmarkStart w:id="480" w:name="_Toc164608654"/>
      <w:bookmarkStart w:id="481" w:name="_Toc127161454"/>
      <w:bookmarkStart w:id="482" w:name="_Toc226965813"/>
      <w:bookmarkStart w:id="483" w:name="_Toc226965730"/>
      <w:bookmarkStart w:id="484" w:name="_Toc150509291"/>
      <w:bookmarkStart w:id="485" w:name="_Toc151193854"/>
      <w:bookmarkStart w:id="486" w:name="_Toc151190167"/>
      <w:bookmarkStart w:id="487" w:name="_Toc150774745"/>
      <w:bookmarkStart w:id="488" w:name="_Toc151193710"/>
      <w:bookmarkStart w:id="489" w:name="_Toc127151741"/>
      <w:r>
        <w:rPr>
          <w:sz w:val="24"/>
        </w:rPr>
        <w:t>评标委员会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F965C91">
      <w:pPr>
        <w:numPr>
          <w:ilvl w:val="1"/>
          <w:numId w:val="14"/>
        </w:numPr>
        <w:tabs>
          <w:tab w:val="left" w:pos="1080"/>
          <w:tab w:val="left" w:pos="2014"/>
        </w:tabs>
        <w:snapToGrid w:val="0"/>
        <w:spacing w:line="360" w:lineRule="auto"/>
        <w:ind w:left="1077" w:hanging="720"/>
        <w:rPr>
          <w:sz w:val="24"/>
        </w:rPr>
      </w:pPr>
      <w:r>
        <w:rPr>
          <w:sz w:val="24"/>
        </w:rPr>
        <w:t>评标委员会根据政府采购有关规定和本次</w:t>
      </w:r>
      <w:r>
        <w:rPr>
          <w:rFonts w:hint="eastAsia"/>
          <w:sz w:val="24"/>
        </w:rPr>
        <w:t>比选</w:t>
      </w:r>
      <w:r>
        <w:rPr>
          <w:sz w:val="24"/>
        </w:rPr>
        <w:t>采购项目的特点进行组建，并负责具体评标事务，独立履行职责。</w:t>
      </w:r>
      <w:bookmarkStart w:id="490" w:name="_Toc520356166"/>
    </w:p>
    <w:p w14:paraId="2118A012">
      <w:pPr>
        <w:numPr>
          <w:ilvl w:val="1"/>
          <w:numId w:val="14"/>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90"/>
      <w:bookmarkStart w:id="491" w:name="_Toc520356169"/>
    </w:p>
    <w:p w14:paraId="5A08DEEF">
      <w:pPr>
        <w:numPr>
          <w:ilvl w:val="0"/>
          <w:numId w:val="14"/>
        </w:numPr>
        <w:tabs>
          <w:tab w:val="left" w:pos="360"/>
        </w:tabs>
        <w:snapToGrid w:val="0"/>
        <w:spacing w:line="360" w:lineRule="auto"/>
        <w:ind w:left="357" w:hanging="357"/>
        <w:outlineLvl w:val="1"/>
        <w:rPr>
          <w:sz w:val="24"/>
        </w:rPr>
      </w:pPr>
      <w:r>
        <w:rPr>
          <w:sz w:val="24"/>
        </w:rPr>
        <w:t>评标程序、评标方法和评标标准</w:t>
      </w:r>
    </w:p>
    <w:p w14:paraId="4081EBAE">
      <w:pPr>
        <w:numPr>
          <w:ilvl w:val="1"/>
          <w:numId w:val="14"/>
        </w:numPr>
        <w:tabs>
          <w:tab w:val="left" w:pos="1080"/>
          <w:tab w:val="left" w:pos="2014"/>
        </w:tabs>
        <w:snapToGrid w:val="0"/>
        <w:spacing w:line="360" w:lineRule="auto"/>
        <w:ind w:left="1077" w:hanging="720"/>
        <w:rPr>
          <w:sz w:val="24"/>
        </w:rPr>
      </w:pPr>
      <w:r>
        <w:rPr>
          <w:sz w:val="24"/>
        </w:rPr>
        <w:t>见第四章《评标程序、评标方法和评标标准》。</w:t>
      </w:r>
    </w:p>
    <w:p w14:paraId="74A4904F">
      <w:pPr>
        <w:tabs>
          <w:tab w:val="left" w:pos="360"/>
          <w:tab w:val="left" w:pos="1080"/>
        </w:tabs>
        <w:snapToGrid w:val="0"/>
        <w:spacing w:line="360" w:lineRule="auto"/>
        <w:ind w:left="1080"/>
        <w:rPr>
          <w:sz w:val="24"/>
        </w:rPr>
      </w:pPr>
    </w:p>
    <w:p w14:paraId="09526F6F">
      <w:pPr>
        <w:pStyle w:val="3"/>
        <w:spacing w:before="0" w:line="360" w:lineRule="auto"/>
        <w:rPr>
          <w:rFonts w:ascii="Times New Roman" w:hAnsi="Times New Roman" w:eastAsia="宋体"/>
          <w:sz w:val="28"/>
        </w:rPr>
      </w:pPr>
      <w:bookmarkStart w:id="492" w:name="_Toc226309789"/>
      <w:bookmarkStart w:id="493" w:name="_Toc142311047"/>
      <w:bookmarkStart w:id="494" w:name="_Toc151193859"/>
      <w:bookmarkStart w:id="495" w:name="_Toc195842910"/>
      <w:bookmarkStart w:id="496" w:name="_Toc151190172"/>
      <w:bookmarkStart w:id="497" w:name="_Toc151193643"/>
      <w:bookmarkStart w:id="498" w:name="_Toc226337241"/>
      <w:bookmarkStart w:id="499" w:name="_Toc151193933"/>
      <w:bookmarkStart w:id="500" w:name="_Toc150509296"/>
      <w:bookmarkStart w:id="501" w:name="_Toc150774750"/>
      <w:bookmarkStart w:id="502" w:name="_Toc127151545"/>
      <w:bookmarkStart w:id="503" w:name="_Toc151193787"/>
      <w:bookmarkStart w:id="504" w:name="_Toc305158887"/>
      <w:bookmarkStart w:id="505" w:name="_Toc226965735"/>
      <w:bookmarkStart w:id="506" w:name="_Toc150774645"/>
      <w:bookmarkStart w:id="507" w:name="_Toc151193715"/>
      <w:bookmarkStart w:id="508" w:name="_Toc264969235"/>
      <w:bookmarkStart w:id="509" w:name="_Toc265228383"/>
      <w:bookmarkStart w:id="510" w:name="_Toc150480783"/>
      <w:bookmarkStart w:id="511" w:name="_Toc305158813"/>
      <w:bookmarkStart w:id="512" w:name="_Toc226965818"/>
      <w:r>
        <w:rPr>
          <w:rFonts w:ascii="Times New Roman" w:hAnsi="Times New Roman" w:eastAsia="宋体"/>
          <w:sz w:val="28"/>
        </w:rPr>
        <w:t xml:space="preserve">六   </w:t>
      </w:r>
      <w:bookmarkEnd w:id="491"/>
      <w:r>
        <w:rPr>
          <w:rFonts w:ascii="Times New Roman" w:hAnsi="Times New Roman" w:eastAsia="宋体"/>
          <w:sz w:val="28"/>
        </w:rPr>
        <w:t>确定</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Start w:id="513" w:name="_Toc150774752"/>
      <w:bookmarkStart w:id="514" w:name="_Toc264969237"/>
      <w:bookmarkStart w:id="515" w:name="_Toc149720840"/>
      <w:bookmarkStart w:id="516" w:name="_Toc151193717"/>
      <w:bookmarkStart w:id="517" w:name="_Toc305158815"/>
      <w:bookmarkStart w:id="518" w:name="_Toc226965737"/>
      <w:bookmarkStart w:id="519" w:name="_Toc151193935"/>
      <w:bookmarkStart w:id="520" w:name="_Toc226965820"/>
      <w:bookmarkStart w:id="521" w:name="_Toc150509298"/>
      <w:bookmarkStart w:id="522" w:name="_Toc226309791"/>
      <w:bookmarkStart w:id="523" w:name="_Toc164229242"/>
      <w:bookmarkStart w:id="524" w:name="_Toc127161461"/>
      <w:bookmarkStart w:id="525" w:name="_Toc164608661"/>
      <w:bookmarkStart w:id="526" w:name="_Toc150774647"/>
      <w:bookmarkStart w:id="527" w:name="_Toc151193645"/>
      <w:bookmarkStart w:id="528" w:name="_Toc127151547"/>
      <w:bookmarkStart w:id="529" w:name="_Toc164229388"/>
      <w:bookmarkStart w:id="530" w:name="_Toc164608816"/>
      <w:bookmarkStart w:id="531" w:name="_Toc151193789"/>
      <w:bookmarkStart w:id="532" w:name="_Toc195842912"/>
      <w:bookmarkStart w:id="533" w:name="_Toc151193861"/>
      <w:bookmarkStart w:id="534" w:name="_Toc305158889"/>
      <w:bookmarkStart w:id="535" w:name="_Toc265228385"/>
      <w:bookmarkStart w:id="536" w:name="_Toc142311049"/>
      <w:bookmarkStart w:id="537" w:name="_Toc151190174"/>
      <w:bookmarkStart w:id="538" w:name="_Toc127151748"/>
      <w:bookmarkStart w:id="539" w:name="_Toc226337243"/>
      <w:bookmarkStart w:id="540" w:name="_Toc164351641"/>
      <w:bookmarkStart w:id="541" w:name="_Toc150480785"/>
      <w:r>
        <w:rPr>
          <w:rFonts w:hint="eastAsia" w:ascii="Times New Roman" w:hAnsi="Times New Roman" w:eastAsia="宋体"/>
          <w:sz w:val="28"/>
        </w:rPr>
        <w:t>中选</w:t>
      </w:r>
    </w:p>
    <w:p w14:paraId="32F96D3F">
      <w:pPr>
        <w:numPr>
          <w:ilvl w:val="0"/>
          <w:numId w:val="14"/>
        </w:numPr>
        <w:tabs>
          <w:tab w:val="left" w:pos="360"/>
        </w:tabs>
        <w:snapToGrid w:val="0"/>
        <w:spacing w:line="360" w:lineRule="auto"/>
        <w:ind w:left="357" w:hanging="357"/>
        <w:outlineLvl w:val="1"/>
        <w:rPr>
          <w:sz w:val="24"/>
        </w:rPr>
      </w:pPr>
      <w:r>
        <w:rPr>
          <w:sz w:val="24"/>
        </w:rPr>
        <w:t>确定</w:t>
      </w:r>
      <w:r>
        <w:rPr>
          <w:rFonts w:hint="eastAsia"/>
          <w:sz w:val="24"/>
        </w:rPr>
        <w:t>中选</w:t>
      </w:r>
      <w:r>
        <w:rPr>
          <w:sz w:val="24"/>
        </w:rPr>
        <w:t>人</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D36C046">
      <w:pPr>
        <w:numPr>
          <w:ilvl w:val="1"/>
          <w:numId w:val="14"/>
        </w:numPr>
        <w:tabs>
          <w:tab w:val="left" w:pos="1080"/>
          <w:tab w:val="left" w:pos="2014"/>
        </w:tabs>
        <w:snapToGrid w:val="0"/>
        <w:spacing w:line="360" w:lineRule="auto"/>
        <w:ind w:left="1077" w:hanging="720"/>
        <w:rPr>
          <w:sz w:val="24"/>
        </w:rPr>
      </w:pPr>
      <w:r>
        <w:rPr>
          <w:sz w:val="24"/>
        </w:rPr>
        <w:t>采购人将在评标报告确定的</w:t>
      </w:r>
      <w:r>
        <w:rPr>
          <w:rFonts w:hint="eastAsia"/>
          <w:sz w:val="24"/>
        </w:rPr>
        <w:t>中选候选人</w:t>
      </w:r>
      <w:r>
        <w:rPr>
          <w:sz w:val="24"/>
        </w:rPr>
        <w:t>名单中按顺序确定</w:t>
      </w:r>
      <w:r>
        <w:rPr>
          <w:rFonts w:hint="eastAsia"/>
          <w:sz w:val="24"/>
        </w:rPr>
        <w:t>中选</w:t>
      </w:r>
      <w:r>
        <w:rPr>
          <w:sz w:val="24"/>
        </w:rPr>
        <w:t>人，</w:t>
      </w:r>
      <w:r>
        <w:rPr>
          <w:rFonts w:hint="eastAsia"/>
          <w:sz w:val="24"/>
        </w:rPr>
        <w:t>中选候选人</w:t>
      </w:r>
      <w:r>
        <w:rPr>
          <w:sz w:val="24"/>
        </w:rPr>
        <w:t>并列的，由采购人或者采购人委托评标委员会按照</w:t>
      </w:r>
      <w:r>
        <w:rPr>
          <w:rFonts w:hint="eastAsia"/>
          <w:sz w:val="24"/>
        </w:rPr>
        <w:t>比选文件</w:t>
      </w:r>
      <w:r>
        <w:rPr>
          <w:sz w:val="24"/>
        </w:rPr>
        <w:t>规定的方式确定</w:t>
      </w:r>
      <w:r>
        <w:rPr>
          <w:rFonts w:hint="eastAsia"/>
          <w:sz w:val="24"/>
        </w:rPr>
        <w:t>中选</w:t>
      </w:r>
      <w:r>
        <w:rPr>
          <w:sz w:val="24"/>
        </w:rPr>
        <w:t>人；</w:t>
      </w:r>
      <w:r>
        <w:rPr>
          <w:rFonts w:hint="eastAsia"/>
          <w:sz w:val="24"/>
        </w:rPr>
        <w:t>比选文件</w:t>
      </w:r>
      <w:r>
        <w:rPr>
          <w:sz w:val="24"/>
        </w:rPr>
        <w:t>未规定的，采取随机抽取的方式确定</w:t>
      </w:r>
      <w:r>
        <w:rPr>
          <w:rFonts w:hint="eastAsia"/>
          <w:sz w:val="24"/>
        </w:rPr>
        <w:t>。</w:t>
      </w:r>
      <w:r>
        <w:rPr>
          <w:sz w:val="24"/>
        </w:rPr>
        <w:t>采购人是否委托评标委员会直接确定</w:t>
      </w:r>
      <w:r>
        <w:rPr>
          <w:rFonts w:hint="eastAsia"/>
          <w:sz w:val="24"/>
        </w:rPr>
        <w:t>中选人</w:t>
      </w:r>
      <w:r>
        <w:rPr>
          <w:sz w:val="24"/>
        </w:rPr>
        <w:t>，见《</w:t>
      </w:r>
      <w:r>
        <w:rPr>
          <w:rFonts w:hint="eastAsia"/>
          <w:sz w:val="24"/>
        </w:rPr>
        <w:t>参选人</w:t>
      </w:r>
      <w:r>
        <w:rPr>
          <w:sz w:val="24"/>
        </w:rPr>
        <w:t>须知资料表》。</w:t>
      </w:r>
      <w:r>
        <w:rPr>
          <w:rFonts w:hint="eastAsia"/>
          <w:sz w:val="24"/>
        </w:rPr>
        <w:t>中选候选人</w:t>
      </w:r>
      <w:r>
        <w:rPr>
          <w:sz w:val="24"/>
        </w:rPr>
        <w:t>并列的，按照《</w:t>
      </w:r>
      <w:r>
        <w:rPr>
          <w:rFonts w:hint="eastAsia"/>
          <w:sz w:val="24"/>
        </w:rPr>
        <w:t>参选人</w:t>
      </w:r>
      <w:r>
        <w:rPr>
          <w:sz w:val="24"/>
        </w:rPr>
        <w:t>须知资料表》要求确定成交供应商。</w:t>
      </w:r>
    </w:p>
    <w:p w14:paraId="68372C50">
      <w:pPr>
        <w:numPr>
          <w:ilvl w:val="1"/>
          <w:numId w:val="14"/>
        </w:numPr>
        <w:tabs>
          <w:tab w:val="left" w:pos="1080"/>
          <w:tab w:val="left" w:pos="2014"/>
          <w:tab w:val="clear" w:pos="1589"/>
        </w:tabs>
        <w:snapToGrid w:val="0"/>
        <w:spacing w:line="360" w:lineRule="auto"/>
        <w:ind w:left="1077" w:hanging="720"/>
        <w:rPr>
          <w:sz w:val="24"/>
        </w:rPr>
      </w:pPr>
      <w:r>
        <w:rPr>
          <w:rFonts w:hint="eastAsia"/>
          <w:sz w:val="24"/>
        </w:rPr>
        <w:t>在授予合同前，采购人或者采购人委托评标委员会发现经评标委员会推荐的中选候选人的经营、财务状况发生较大变化或存在违法行为，采购人或者采购人委托评标委员会认为可能影响其履约能力的，有权在发出中选通知书前由原评标委员会按照比选文件规定的标准和方法审查确认。</w:t>
      </w:r>
    </w:p>
    <w:p w14:paraId="357CE937">
      <w:pPr>
        <w:numPr>
          <w:ilvl w:val="1"/>
          <w:numId w:val="14"/>
        </w:numPr>
        <w:tabs>
          <w:tab w:val="left" w:pos="1080"/>
          <w:tab w:val="left" w:pos="2014"/>
          <w:tab w:val="clear" w:pos="1589"/>
        </w:tabs>
        <w:snapToGrid w:val="0"/>
        <w:spacing w:line="360" w:lineRule="auto"/>
        <w:ind w:left="1077" w:hanging="720"/>
        <w:rPr>
          <w:sz w:val="24"/>
        </w:rPr>
      </w:pPr>
      <w:r>
        <w:rPr>
          <w:rFonts w:hint="eastAsia"/>
          <w:sz w:val="24"/>
        </w:rPr>
        <w:t>如果参选人被确定为无能力履行合同，其投标将被拒绝。在该情况下，采购人或者采购人委托评标委员会将对按综合评标分由高到低排序的下一个参选人作出同样的审查，最终确定中选人。</w:t>
      </w:r>
    </w:p>
    <w:p w14:paraId="5B7DF662">
      <w:pPr>
        <w:numPr>
          <w:ilvl w:val="0"/>
          <w:numId w:val="14"/>
        </w:numPr>
        <w:tabs>
          <w:tab w:val="left" w:pos="360"/>
        </w:tabs>
        <w:snapToGrid w:val="0"/>
        <w:spacing w:line="360" w:lineRule="auto"/>
        <w:ind w:left="357" w:hanging="357"/>
        <w:outlineLvl w:val="1"/>
        <w:rPr>
          <w:sz w:val="24"/>
        </w:rPr>
      </w:pPr>
      <w:bookmarkStart w:id="542" w:name="_Toc305158891"/>
      <w:bookmarkStart w:id="543" w:name="_Toc305158817"/>
      <w:bookmarkStart w:id="544" w:name="_Toc164608663"/>
      <w:bookmarkStart w:id="545" w:name="_Toc151193937"/>
      <w:bookmarkStart w:id="546" w:name="_Toc127161463"/>
      <w:bookmarkStart w:id="547" w:name="_Toc164229390"/>
      <w:bookmarkStart w:id="548" w:name="_Toc226309793"/>
      <w:bookmarkStart w:id="549" w:name="_Toc226965739"/>
      <w:bookmarkStart w:id="550" w:name="_Toc149720842"/>
      <w:bookmarkStart w:id="551" w:name="_Toc226965822"/>
      <w:bookmarkStart w:id="552" w:name="_Toc195842914"/>
      <w:bookmarkStart w:id="553" w:name="_Toc164351643"/>
      <w:bookmarkStart w:id="554" w:name="_Toc226337245"/>
      <w:bookmarkStart w:id="555" w:name="_Toc150774649"/>
      <w:bookmarkStart w:id="556" w:name="_Toc150480787"/>
      <w:bookmarkStart w:id="557" w:name="_Toc150509300"/>
      <w:bookmarkStart w:id="558" w:name="_Toc265228387"/>
      <w:bookmarkStart w:id="559" w:name="_Toc164229244"/>
      <w:bookmarkStart w:id="560" w:name="_Toc142311051"/>
      <w:bookmarkStart w:id="561" w:name="_Toc151190176"/>
      <w:bookmarkStart w:id="562" w:name="_Toc151193863"/>
      <w:bookmarkStart w:id="563" w:name="_Toc264969239"/>
      <w:bookmarkStart w:id="564" w:name="_Toc150774754"/>
      <w:bookmarkStart w:id="565" w:name="_Toc151193791"/>
      <w:bookmarkStart w:id="566" w:name="_Toc151193719"/>
      <w:bookmarkStart w:id="567" w:name="_Toc151193647"/>
      <w:bookmarkStart w:id="568" w:name="_Toc164608818"/>
      <w:bookmarkStart w:id="569" w:name="_Toc127151549"/>
      <w:bookmarkStart w:id="570" w:name="_Toc127151750"/>
      <w:bookmarkStart w:id="571" w:name="_Ref467307090"/>
      <w:bookmarkStart w:id="572" w:name="_Toc520356176"/>
      <w:bookmarkStart w:id="573" w:name="_Ref467306425"/>
      <w:r>
        <w:rPr>
          <w:rFonts w:hint="eastAsia"/>
          <w:sz w:val="24"/>
        </w:rPr>
        <w:t>中选</w:t>
      </w:r>
      <w:r>
        <w:rPr>
          <w:sz w:val="24"/>
        </w:rPr>
        <w:t>公告与</w:t>
      </w:r>
      <w:r>
        <w:rPr>
          <w:rFonts w:hint="eastAsia"/>
          <w:sz w:val="24"/>
        </w:rPr>
        <w:t>中选</w:t>
      </w:r>
      <w:r>
        <w:rPr>
          <w:sz w:val="24"/>
        </w:rPr>
        <w:t>通知书</w:t>
      </w:r>
      <w:bookmarkEnd w:id="542"/>
      <w:bookmarkEnd w:id="543"/>
    </w:p>
    <w:p w14:paraId="33A24968">
      <w:pPr>
        <w:numPr>
          <w:ilvl w:val="1"/>
          <w:numId w:val="14"/>
        </w:numPr>
        <w:tabs>
          <w:tab w:val="left" w:pos="1080"/>
          <w:tab w:val="left" w:pos="2014"/>
        </w:tabs>
        <w:snapToGrid w:val="0"/>
        <w:spacing w:line="360" w:lineRule="auto"/>
        <w:ind w:left="1077" w:hanging="720"/>
        <w:rPr>
          <w:sz w:val="24"/>
        </w:rPr>
      </w:pPr>
      <w:r>
        <w:rPr>
          <w:sz w:val="24"/>
        </w:rPr>
        <w:t>采购人或采购代理机构自</w:t>
      </w:r>
      <w:r>
        <w:rPr>
          <w:rFonts w:hint="eastAsia"/>
          <w:sz w:val="24"/>
        </w:rPr>
        <w:t>中选</w:t>
      </w:r>
      <w:r>
        <w:rPr>
          <w:sz w:val="24"/>
        </w:rPr>
        <w:t>人确定之日起2个工作日内，</w:t>
      </w:r>
      <w:r>
        <w:rPr>
          <w:color w:val="000000"/>
          <w:kern w:val="0"/>
          <w:sz w:val="24"/>
        </w:rPr>
        <w:t>在</w:t>
      </w:r>
      <w:r>
        <w:rPr>
          <w:rFonts w:hint="eastAsia"/>
          <w:color w:val="000000"/>
          <w:kern w:val="0"/>
          <w:sz w:val="24"/>
        </w:rPr>
        <w:t>中国政府采购网</w:t>
      </w:r>
      <w:r>
        <w:rPr>
          <w:color w:val="000000"/>
          <w:kern w:val="0"/>
          <w:sz w:val="24"/>
        </w:rPr>
        <w:t>公告</w:t>
      </w:r>
      <w:r>
        <w:rPr>
          <w:rFonts w:hint="eastAsia"/>
          <w:color w:val="000000"/>
          <w:kern w:val="0"/>
          <w:sz w:val="24"/>
        </w:rPr>
        <w:t>中选</w:t>
      </w:r>
      <w:r>
        <w:rPr>
          <w:color w:val="000000"/>
          <w:kern w:val="0"/>
          <w:sz w:val="24"/>
        </w:rPr>
        <w:t>结果</w:t>
      </w:r>
      <w:r>
        <w:rPr>
          <w:sz w:val="24"/>
        </w:rPr>
        <w:t>，</w:t>
      </w:r>
      <w:r>
        <w:rPr>
          <w:rFonts w:hint="eastAsia"/>
          <w:sz w:val="24"/>
        </w:rPr>
        <w:t>同时向中选人发出中选通知书，中选</w:t>
      </w:r>
      <w:r>
        <w:rPr>
          <w:sz w:val="24"/>
        </w:rPr>
        <w:t>公告期限为1个工作日。</w:t>
      </w:r>
    </w:p>
    <w:p w14:paraId="196B28B5">
      <w:pPr>
        <w:numPr>
          <w:ilvl w:val="1"/>
          <w:numId w:val="14"/>
        </w:numPr>
        <w:tabs>
          <w:tab w:val="left" w:pos="1080"/>
          <w:tab w:val="left" w:pos="2014"/>
        </w:tabs>
        <w:snapToGrid w:val="0"/>
        <w:spacing w:line="360" w:lineRule="auto"/>
        <w:ind w:left="1077" w:hanging="720"/>
        <w:rPr>
          <w:sz w:val="24"/>
        </w:rPr>
      </w:pPr>
      <w:r>
        <w:rPr>
          <w:rFonts w:hint="eastAsia"/>
          <w:sz w:val="24"/>
        </w:rPr>
        <w:t>中选</w:t>
      </w:r>
      <w:r>
        <w:rPr>
          <w:sz w:val="24"/>
        </w:rPr>
        <w:t>通知书对采购人和</w:t>
      </w:r>
      <w:r>
        <w:rPr>
          <w:rFonts w:hint="eastAsia"/>
          <w:sz w:val="24"/>
        </w:rPr>
        <w:t>中选</w:t>
      </w:r>
      <w:r>
        <w:rPr>
          <w:sz w:val="24"/>
        </w:rPr>
        <w:t>供应商均具有法律效力。</w:t>
      </w:r>
      <w:r>
        <w:rPr>
          <w:rFonts w:hint="eastAsia"/>
          <w:sz w:val="24"/>
        </w:rPr>
        <w:t>中选</w:t>
      </w:r>
      <w:r>
        <w:rPr>
          <w:sz w:val="24"/>
        </w:rPr>
        <w:t>通知书发出后，采购人改变</w:t>
      </w:r>
      <w:r>
        <w:rPr>
          <w:rFonts w:hint="eastAsia"/>
          <w:sz w:val="24"/>
        </w:rPr>
        <w:t>中选</w:t>
      </w:r>
      <w:r>
        <w:rPr>
          <w:sz w:val="24"/>
        </w:rPr>
        <w:t>结果的，或者</w:t>
      </w:r>
      <w:r>
        <w:rPr>
          <w:rFonts w:hint="eastAsia"/>
          <w:sz w:val="24"/>
        </w:rPr>
        <w:t>中选</w:t>
      </w:r>
      <w:r>
        <w:rPr>
          <w:sz w:val="24"/>
        </w:rPr>
        <w:t>供应商放弃</w:t>
      </w:r>
      <w:r>
        <w:rPr>
          <w:rFonts w:hint="eastAsia"/>
          <w:sz w:val="24"/>
        </w:rPr>
        <w:t>中选</w:t>
      </w:r>
      <w:r>
        <w:rPr>
          <w:sz w:val="24"/>
        </w:rPr>
        <w:t>项目的，应当依法承担法律责任。</w:t>
      </w:r>
    </w:p>
    <w:p w14:paraId="18E9E6CD">
      <w:pPr>
        <w:numPr>
          <w:ilvl w:val="0"/>
          <w:numId w:val="14"/>
        </w:numPr>
        <w:tabs>
          <w:tab w:val="left" w:pos="360"/>
        </w:tabs>
        <w:snapToGrid w:val="0"/>
        <w:spacing w:line="360" w:lineRule="auto"/>
        <w:ind w:left="357" w:hanging="357"/>
        <w:outlineLvl w:val="1"/>
        <w:rPr>
          <w:sz w:val="24"/>
        </w:rPr>
      </w:pPr>
      <w:r>
        <w:rPr>
          <w:sz w:val="24"/>
        </w:rPr>
        <w:t>废标</w:t>
      </w:r>
    </w:p>
    <w:p w14:paraId="5C616CBF">
      <w:pPr>
        <w:numPr>
          <w:ilvl w:val="1"/>
          <w:numId w:val="14"/>
        </w:numPr>
        <w:tabs>
          <w:tab w:val="left" w:pos="1080"/>
          <w:tab w:val="left" w:pos="2014"/>
        </w:tabs>
        <w:snapToGrid w:val="0"/>
        <w:spacing w:line="360" w:lineRule="auto"/>
        <w:ind w:left="1077" w:hanging="720"/>
        <w:rPr>
          <w:sz w:val="24"/>
        </w:rPr>
      </w:pPr>
      <w:r>
        <w:rPr>
          <w:sz w:val="24"/>
        </w:rPr>
        <w:t>在</w:t>
      </w:r>
      <w:r>
        <w:rPr>
          <w:rFonts w:hint="eastAsia"/>
          <w:sz w:val="24"/>
        </w:rPr>
        <w:t>比选</w:t>
      </w:r>
      <w:r>
        <w:rPr>
          <w:sz w:val="24"/>
        </w:rPr>
        <w:t>采购中，出现下列情形之一的，应予废标：</w:t>
      </w:r>
    </w:p>
    <w:p w14:paraId="53130D7B">
      <w:pPr>
        <w:numPr>
          <w:ilvl w:val="2"/>
          <w:numId w:val="14"/>
        </w:numPr>
        <w:snapToGrid w:val="0"/>
        <w:spacing w:line="360" w:lineRule="auto"/>
        <w:rPr>
          <w:sz w:val="24"/>
        </w:rPr>
      </w:pPr>
      <w:r>
        <w:rPr>
          <w:sz w:val="24"/>
        </w:rPr>
        <w:t>符合专业条件的供应商或者对</w:t>
      </w:r>
      <w:r>
        <w:rPr>
          <w:rFonts w:hint="eastAsia"/>
          <w:sz w:val="24"/>
        </w:rPr>
        <w:t>比选文件</w:t>
      </w:r>
      <w:r>
        <w:rPr>
          <w:sz w:val="24"/>
        </w:rPr>
        <w:t>作实质响应的供应商不足三家的；</w:t>
      </w:r>
    </w:p>
    <w:p w14:paraId="647C6CEF">
      <w:pPr>
        <w:numPr>
          <w:ilvl w:val="2"/>
          <w:numId w:val="14"/>
        </w:numPr>
        <w:snapToGrid w:val="0"/>
        <w:spacing w:line="360" w:lineRule="auto"/>
        <w:rPr>
          <w:sz w:val="24"/>
        </w:rPr>
      </w:pPr>
      <w:r>
        <w:rPr>
          <w:sz w:val="24"/>
        </w:rPr>
        <w:t>出现影响采购公正的违法、违规行为的；</w:t>
      </w:r>
    </w:p>
    <w:p w14:paraId="77E7E055">
      <w:pPr>
        <w:numPr>
          <w:ilvl w:val="2"/>
          <w:numId w:val="14"/>
        </w:numPr>
        <w:snapToGrid w:val="0"/>
        <w:spacing w:line="360" w:lineRule="auto"/>
        <w:rPr>
          <w:sz w:val="24"/>
        </w:rPr>
      </w:pPr>
      <w:r>
        <w:rPr>
          <w:rFonts w:hint="eastAsia"/>
          <w:sz w:val="24"/>
        </w:rPr>
        <w:t>参选人</w:t>
      </w:r>
      <w:r>
        <w:rPr>
          <w:sz w:val="24"/>
        </w:rPr>
        <w:t>的报价均超过了采购预算，采购人不能支付的；</w:t>
      </w:r>
    </w:p>
    <w:p w14:paraId="7231ECBD">
      <w:pPr>
        <w:numPr>
          <w:ilvl w:val="2"/>
          <w:numId w:val="14"/>
        </w:numPr>
        <w:snapToGrid w:val="0"/>
        <w:spacing w:line="360" w:lineRule="auto"/>
        <w:rPr>
          <w:sz w:val="24"/>
        </w:rPr>
      </w:pPr>
      <w:r>
        <w:rPr>
          <w:sz w:val="24"/>
        </w:rPr>
        <w:t>因重大变故，采购任务取消的。</w:t>
      </w:r>
    </w:p>
    <w:p w14:paraId="582E9853">
      <w:pPr>
        <w:numPr>
          <w:ilvl w:val="1"/>
          <w:numId w:val="14"/>
        </w:numPr>
        <w:tabs>
          <w:tab w:val="left" w:pos="1080"/>
          <w:tab w:val="left" w:pos="2014"/>
        </w:tabs>
        <w:snapToGrid w:val="0"/>
        <w:spacing w:line="360" w:lineRule="auto"/>
        <w:ind w:left="1077" w:hanging="720"/>
        <w:rPr>
          <w:sz w:val="24"/>
        </w:rPr>
      </w:pPr>
      <w:r>
        <w:rPr>
          <w:sz w:val="24"/>
        </w:rPr>
        <w:t>废标后，采购人将废标理由通知所有</w:t>
      </w:r>
      <w:r>
        <w:rPr>
          <w:rFonts w:hint="eastAsia"/>
          <w:sz w:val="24"/>
        </w:rPr>
        <w:t>参选人</w:t>
      </w:r>
      <w:r>
        <w:rPr>
          <w:sz w:val="24"/>
        </w:rPr>
        <w:t>。</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1AD1C7AD">
      <w:pPr>
        <w:numPr>
          <w:ilvl w:val="0"/>
          <w:numId w:val="14"/>
        </w:numPr>
        <w:tabs>
          <w:tab w:val="left" w:pos="360"/>
        </w:tabs>
        <w:snapToGrid w:val="0"/>
        <w:spacing w:line="360" w:lineRule="auto"/>
        <w:ind w:left="357" w:hanging="357"/>
        <w:outlineLvl w:val="1"/>
        <w:rPr>
          <w:sz w:val="24"/>
        </w:rPr>
      </w:pPr>
      <w:bookmarkStart w:id="574" w:name="_Toc151193648"/>
      <w:bookmarkStart w:id="575" w:name="_Toc164229391"/>
      <w:bookmarkStart w:id="576" w:name="_Toc151190177"/>
      <w:bookmarkStart w:id="577" w:name="_Toc305158818"/>
      <w:bookmarkStart w:id="578" w:name="_Toc226337246"/>
      <w:bookmarkStart w:id="579" w:name="_Toc127151550"/>
      <w:bookmarkStart w:id="580" w:name="_Toc150774755"/>
      <w:bookmarkStart w:id="581" w:name="_Toc164608819"/>
      <w:bookmarkStart w:id="582" w:name="_Toc226309794"/>
      <w:bookmarkStart w:id="583" w:name="_Toc164351644"/>
      <w:bookmarkStart w:id="584" w:name="_Toc150480788"/>
      <w:bookmarkStart w:id="585" w:name="_Toc520356175"/>
      <w:bookmarkStart w:id="586" w:name="_Toc151193792"/>
      <w:bookmarkStart w:id="587" w:name="_Toc265228388"/>
      <w:bookmarkStart w:id="588" w:name="_Toc127151751"/>
      <w:bookmarkStart w:id="589" w:name="_Toc150774650"/>
      <w:bookmarkStart w:id="590" w:name="_Ref467306978"/>
      <w:bookmarkStart w:id="591" w:name="_Toc127161464"/>
      <w:bookmarkStart w:id="592" w:name="_Toc151193938"/>
      <w:bookmarkStart w:id="593" w:name="_Toc226965740"/>
      <w:bookmarkStart w:id="594" w:name="_Toc164229245"/>
      <w:bookmarkStart w:id="595" w:name="_Ref467307062"/>
      <w:bookmarkStart w:id="596" w:name="_Toc151193864"/>
      <w:bookmarkStart w:id="597" w:name="_Ref467307204"/>
      <w:bookmarkStart w:id="598" w:name="_Toc150509301"/>
      <w:bookmarkStart w:id="599" w:name="_Toc264969240"/>
      <w:bookmarkStart w:id="600" w:name="_Toc226965823"/>
      <w:bookmarkStart w:id="601" w:name="_Toc164608664"/>
      <w:bookmarkStart w:id="602" w:name="_Toc142311052"/>
      <w:bookmarkStart w:id="603" w:name="_Toc151193720"/>
      <w:bookmarkStart w:id="604" w:name="_Toc305158892"/>
      <w:bookmarkStart w:id="605" w:name="_Toc195842915"/>
      <w:bookmarkStart w:id="606" w:name="_Ref467306377"/>
      <w:bookmarkStart w:id="607" w:name="_Toc149720843"/>
      <w:r>
        <w:rPr>
          <w:sz w:val="24"/>
        </w:rPr>
        <w:t>签订合同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7EE2265E">
      <w:pPr>
        <w:numPr>
          <w:ilvl w:val="1"/>
          <w:numId w:val="14"/>
        </w:numPr>
        <w:tabs>
          <w:tab w:val="left" w:pos="1080"/>
          <w:tab w:val="left" w:pos="2014"/>
        </w:tabs>
        <w:snapToGrid w:val="0"/>
        <w:spacing w:line="360" w:lineRule="auto"/>
        <w:ind w:left="1077" w:hanging="720"/>
        <w:rPr>
          <w:sz w:val="24"/>
        </w:rPr>
      </w:pPr>
      <w:r>
        <w:rPr>
          <w:rFonts w:hint="eastAsia"/>
          <w:sz w:val="24"/>
        </w:rPr>
        <w:t>中选</w:t>
      </w:r>
      <w:r>
        <w:rPr>
          <w:sz w:val="24"/>
        </w:rPr>
        <w:t>人、采购人应当自</w:t>
      </w:r>
      <w:r>
        <w:rPr>
          <w:rFonts w:hint="eastAsia"/>
          <w:sz w:val="24"/>
        </w:rPr>
        <w:t>中选</w:t>
      </w:r>
      <w:r>
        <w:rPr>
          <w:sz w:val="24"/>
        </w:rPr>
        <w:t>通知书发出之日起30日内，按照</w:t>
      </w:r>
      <w:r>
        <w:rPr>
          <w:rFonts w:hint="eastAsia"/>
          <w:sz w:val="24"/>
        </w:rPr>
        <w:t>比选文件</w:t>
      </w:r>
      <w:r>
        <w:rPr>
          <w:sz w:val="24"/>
        </w:rPr>
        <w:t>和</w:t>
      </w:r>
      <w:r>
        <w:rPr>
          <w:rFonts w:hint="eastAsia"/>
          <w:sz w:val="24"/>
        </w:rPr>
        <w:t>中选</w:t>
      </w:r>
      <w:r>
        <w:rPr>
          <w:sz w:val="24"/>
        </w:rPr>
        <w:t>人</w:t>
      </w:r>
      <w:r>
        <w:rPr>
          <w:rFonts w:hint="eastAsia"/>
          <w:sz w:val="24"/>
        </w:rPr>
        <w:t>响应文件</w:t>
      </w:r>
      <w:r>
        <w:rPr>
          <w:sz w:val="24"/>
        </w:rPr>
        <w:t>的规定签订书面合同。所签订的合同不得对</w:t>
      </w:r>
      <w:r>
        <w:rPr>
          <w:rFonts w:hint="eastAsia"/>
          <w:sz w:val="24"/>
        </w:rPr>
        <w:t>比选文件</w:t>
      </w:r>
      <w:r>
        <w:rPr>
          <w:sz w:val="24"/>
        </w:rPr>
        <w:t>确定的事项和</w:t>
      </w:r>
      <w:r>
        <w:rPr>
          <w:rFonts w:hint="eastAsia"/>
          <w:sz w:val="24"/>
        </w:rPr>
        <w:t>中选</w:t>
      </w:r>
      <w:r>
        <w:rPr>
          <w:sz w:val="24"/>
        </w:rPr>
        <w:t>人</w:t>
      </w:r>
      <w:r>
        <w:rPr>
          <w:rFonts w:hint="eastAsia"/>
          <w:sz w:val="24"/>
        </w:rPr>
        <w:t>响应文件</w:t>
      </w:r>
      <w:r>
        <w:rPr>
          <w:sz w:val="24"/>
        </w:rPr>
        <w:t>作实质性修改。</w:t>
      </w:r>
    </w:p>
    <w:p w14:paraId="451F8150">
      <w:pPr>
        <w:numPr>
          <w:ilvl w:val="1"/>
          <w:numId w:val="14"/>
        </w:numPr>
        <w:tabs>
          <w:tab w:val="left" w:pos="1080"/>
          <w:tab w:val="left" w:pos="2014"/>
        </w:tabs>
        <w:snapToGrid w:val="0"/>
        <w:spacing w:line="360" w:lineRule="auto"/>
        <w:ind w:left="1077" w:hanging="720"/>
        <w:rPr>
          <w:sz w:val="24"/>
        </w:rPr>
      </w:pPr>
      <w:r>
        <w:rPr>
          <w:rFonts w:hint="eastAsia"/>
          <w:sz w:val="24"/>
        </w:rPr>
        <w:t>中选</w:t>
      </w:r>
      <w:r>
        <w:rPr>
          <w:sz w:val="24"/>
        </w:rPr>
        <w:t>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w:t>
      </w:r>
      <w:r>
        <w:rPr>
          <w:rFonts w:hint="eastAsia"/>
          <w:sz w:val="24"/>
        </w:rPr>
        <w:t>中选候选人</w:t>
      </w:r>
      <w:r>
        <w:rPr>
          <w:sz w:val="24"/>
        </w:rPr>
        <w:t>名单排序，确定下一候选人为</w:t>
      </w:r>
      <w:r>
        <w:rPr>
          <w:rFonts w:hint="eastAsia"/>
          <w:sz w:val="24"/>
        </w:rPr>
        <w:t>中选</w:t>
      </w:r>
      <w:r>
        <w:rPr>
          <w:sz w:val="24"/>
        </w:rPr>
        <w:t>人，</w:t>
      </w:r>
      <w:r>
        <w:rPr>
          <w:rFonts w:hint="eastAsia"/>
          <w:sz w:val="24"/>
        </w:rPr>
        <w:t>也可以</w:t>
      </w:r>
      <w:r>
        <w:rPr>
          <w:sz w:val="24"/>
        </w:rPr>
        <w:t>重新开展政府采购活动。</w:t>
      </w:r>
    </w:p>
    <w:p w14:paraId="1F68CD74">
      <w:pPr>
        <w:numPr>
          <w:ilvl w:val="1"/>
          <w:numId w:val="14"/>
        </w:numPr>
        <w:tabs>
          <w:tab w:val="left" w:pos="1080"/>
          <w:tab w:val="left" w:pos="2014"/>
        </w:tabs>
        <w:snapToGrid w:val="0"/>
        <w:spacing w:line="360" w:lineRule="auto"/>
        <w:ind w:left="1077" w:hanging="720"/>
        <w:rPr>
          <w:sz w:val="24"/>
        </w:rPr>
      </w:pPr>
      <w:r>
        <w:rPr>
          <w:sz w:val="24"/>
        </w:rPr>
        <w:t>联合体</w:t>
      </w:r>
      <w:r>
        <w:rPr>
          <w:rFonts w:hint="eastAsia"/>
          <w:sz w:val="24"/>
        </w:rPr>
        <w:t>中选</w:t>
      </w:r>
      <w:r>
        <w:rPr>
          <w:sz w:val="24"/>
        </w:rPr>
        <w:t>的，联合体各方应当共同与采购人签订合同，就</w:t>
      </w:r>
      <w:r>
        <w:rPr>
          <w:rFonts w:hint="eastAsia"/>
          <w:sz w:val="24"/>
        </w:rPr>
        <w:t>中选</w:t>
      </w:r>
      <w:r>
        <w:rPr>
          <w:sz w:val="24"/>
        </w:rPr>
        <w:t>项目向采购人承担连带责任。</w:t>
      </w:r>
    </w:p>
    <w:p w14:paraId="17120BC5">
      <w:pPr>
        <w:numPr>
          <w:ilvl w:val="1"/>
          <w:numId w:val="14"/>
        </w:numPr>
        <w:tabs>
          <w:tab w:val="left" w:pos="1080"/>
          <w:tab w:val="left" w:pos="2014"/>
        </w:tabs>
        <w:snapToGrid w:val="0"/>
        <w:spacing w:line="360" w:lineRule="auto"/>
        <w:ind w:left="1077" w:hanging="720"/>
        <w:rPr>
          <w:sz w:val="24"/>
        </w:rPr>
      </w:pPr>
      <w:r>
        <w:rPr>
          <w:sz w:val="24"/>
        </w:rPr>
        <w:t>政府采购合同不能转包。</w:t>
      </w:r>
    </w:p>
    <w:p w14:paraId="7C3653E1">
      <w:pPr>
        <w:numPr>
          <w:ilvl w:val="1"/>
          <w:numId w:val="14"/>
        </w:numPr>
        <w:tabs>
          <w:tab w:val="left" w:pos="1080"/>
          <w:tab w:val="left" w:pos="2014"/>
        </w:tabs>
        <w:snapToGrid w:val="0"/>
        <w:spacing w:line="360" w:lineRule="auto"/>
        <w:ind w:left="1077" w:hanging="720"/>
        <w:rPr>
          <w:sz w:val="24"/>
        </w:rPr>
      </w:pPr>
      <w:r>
        <w:rPr>
          <w:sz w:val="24"/>
        </w:rPr>
        <w:t>采购人允许采用分包方式履行合同的，</w:t>
      </w:r>
      <w:r>
        <w:rPr>
          <w:rFonts w:hint="eastAsia"/>
          <w:sz w:val="24"/>
        </w:rPr>
        <w:t>中选</w:t>
      </w:r>
      <w:r>
        <w:rPr>
          <w:sz w:val="24"/>
        </w:rPr>
        <w:t>人可以依法在</w:t>
      </w:r>
      <w:r>
        <w:rPr>
          <w:rFonts w:hint="eastAsia"/>
          <w:sz w:val="24"/>
        </w:rPr>
        <w:t>中选</w:t>
      </w:r>
      <w:r>
        <w:rPr>
          <w:sz w:val="24"/>
        </w:rPr>
        <w:t>后将</w:t>
      </w:r>
      <w:r>
        <w:rPr>
          <w:rFonts w:hint="eastAsia"/>
          <w:sz w:val="24"/>
        </w:rPr>
        <w:t>中选</w:t>
      </w:r>
      <w:r>
        <w:rPr>
          <w:sz w:val="24"/>
        </w:rPr>
        <w:t>项目的非主体、非关键性工作采取分包方式履行合同。本项目的非主体、非关键性工作是否允许分包，见《</w:t>
      </w:r>
      <w:r>
        <w:rPr>
          <w:rFonts w:hint="eastAsia"/>
          <w:sz w:val="24"/>
        </w:rPr>
        <w:t>参选人</w:t>
      </w:r>
      <w:r>
        <w:rPr>
          <w:sz w:val="24"/>
        </w:rPr>
        <w:t>须知资料表》。政府采购合同分包履行的，应当在</w:t>
      </w:r>
      <w:r>
        <w:rPr>
          <w:rFonts w:hint="eastAsia"/>
          <w:sz w:val="24"/>
        </w:rPr>
        <w:t>响应文件</w:t>
      </w:r>
      <w:r>
        <w:rPr>
          <w:sz w:val="24"/>
        </w:rPr>
        <w:t>中载明分包承担主体，分包承担主体应当具备相应资质条件且不得再次分包</w:t>
      </w:r>
      <w:r>
        <w:rPr>
          <w:b/>
          <w:sz w:val="24"/>
        </w:rPr>
        <w:t>，</w:t>
      </w:r>
      <w:r>
        <w:rPr>
          <w:sz w:val="24"/>
        </w:rPr>
        <w:t>否则</w:t>
      </w:r>
      <w:r>
        <w:rPr>
          <w:b/>
          <w:sz w:val="24"/>
        </w:rPr>
        <w:t>投标无效</w:t>
      </w:r>
      <w:r>
        <w:rPr>
          <w:sz w:val="24"/>
        </w:rPr>
        <w:t>。</w:t>
      </w:r>
      <w:r>
        <w:rPr>
          <w:rFonts w:hint="eastAsia"/>
          <w:sz w:val="24"/>
        </w:rPr>
        <w:t>中选</w:t>
      </w:r>
      <w:r>
        <w:rPr>
          <w:sz w:val="24"/>
        </w:rPr>
        <w:t>人就采购项目和分包项目向采购人负责，分包供应商就分包项目承担责任。</w:t>
      </w:r>
    </w:p>
    <w:bookmarkEnd w:id="571"/>
    <w:bookmarkEnd w:id="572"/>
    <w:bookmarkEnd w:id="573"/>
    <w:p w14:paraId="577D097B">
      <w:pPr>
        <w:numPr>
          <w:ilvl w:val="0"/>
          <w:numId w:val="14"/>
        </w:numPr>
        <w:tabs>
          <w:tab w:val="left" w:pos="360"/>
        </w:tabs>
        <w:snapToGrid w:val="0"/>
        <w:spacing w:line="360" w:lineRule="auto"/>
        <w:ind w:left="357" w:hanging="357"/>
        <w:outlineLvl w:val="1"/>
        <w:rPr>
          <w:sz w:val="24"/>
        </w:rPr>
      </w:pPr>
      <w:r>
        <w:rPr>
          <w:sz w:val="24"/>
        </w:rPr>
        <w:t>询问与质疑</w:t>
      </w:r>
    </w:p>
    <w:p w14:paraId="2C8DE8A4">
      <w:pPr>
        <w:numPr>
          <w:ilvl w:val="1"/>
          <w:numId w:val="14"/>
        </w:numPr>
        <w:tabs>
          <w:tab w:val="left" w:pos="1080"/>
          <w:tab w:val="left" w:pos="2014"/>
        </w:tabs>
        <w:snapToGrid w:val="0"/>
        <w:spacing w:line="360" w:lineRule="auto"/>
        <w:ind w:left="1077" w:hanging="720"/>
        <w:rPr>
          <w:sz w:val="24"/>
        </w:rPr>
      </w:pPr>
      <w:r>
        <w:rPr>
          <w:sz w:val="24"/>
        </w:rPr>
        <w:t>询问</w:t>
      </w:r>
    </w:p>
    <w:p w14:paraId="238F46BE">
      <w:pPr>
        <w:numPr>
          <w:ilvl w:val="2"/>
          <w:numId w:val="14"/>
        </w:numPr>
        <w:snapToGrid w:val="0"/>
        <w:spacing w:line="360" w:lineRule="auto"/>
        <w:rPr>
          <w:sz w:val="24"/>
        </w:rPr>
      </w:pPr>
      <w:r>
        <w:rPr>
          <w:rFonts w:hint="eastAsia"/>
          <w:sz w:val="24"/>
        </w:rPr>
        <w:t>参选人</w:t>
      </w:r>
      <w:r>
        <w:rPr>
          <w:sz w:val="24"/>
        </w:rPr>
        <w:t>对政府采购活动事项有疑问的，可依法提出询问，并按《</w:t>
      </w:r>
      <w:r>
        <w:rPr>
          <w:rFonts w:hint="eastAsia"/>
          <w:sz w:val="24"/>
        </w:rPr>
        <w:t>参选人</w:t>
      </w:r>
      <w:r>
        <w:rPr>
          <w:sz w:val="24"/>
        </w:rPr>
        <w:t>须知资料表》载明的形式送达采购人或采购代理机构。</w:t>
      </w:r>
    </w:p>
    <w:p w14:paraId="11CCAB6A">
      <w:pPr>
        <w:numPr>
          <w:ilvl w:val="2"/>
          <w:numId w:val="14"/>
        </w:numPr>
        <w:snapToGrid w:val="0"/>
        <w:spacing w:line="360" w:lineRule="auto"/>
        <w:rPr>
          <w:sz w:val="24"/>
        </w:rPr>
      </w:pPr>
      <w:r>
        <w:rPr>
          <w:sz w:val="24"/>
        </w:rPr>
        <w:t>采购人或采购代理机构对供应商依法提出的询问，在3个工作日内作出答复，但答复的内容不得涉及商业秘密。</w:t>
      </w:r>
    </w:p>
    <w:p w14:paraId="322AB26F">
      <w:pPr>
        <w:numPr>
          <w:ilvl w:val="1"/>
          <w:numId w:val="14"/>
        </w:numPr>
        <w:tabs>
          <w:tab w:val="left" w:pos="1080"/>
          <w:tab w:val="left" w:pos="2014"/>
        </w:tabs>
        <w:snapToGrid w:val="0"/>
        <w:spacing w:line="360" w:lineRule="auto"/>
        <w:ind w:left="1077" w:hanging="720"/>
        <w:rPr>
          <w:sz w:val="24"/>
        </w:rPr>
      </w:pPr>
      <w:r>
        <w:rPr>
          <w:sz w:val="24"/>
        </w:rPr>
        <w:t>质疑</w:t>
      </w:r>
    </w:p>
    <w:p w14:paraId="45880E7F">
      <w:pPr>
        <w:numPr>
          <w:ilvl w:val="2"/>
          <w:numId w:val="14"/>
        </w:numPr>
        <w:snapToGrid w:val="0"/>
        <w:spacing w:line="360" w:lineRule="auto"/>
        <w:rPr>
          <w:sz w:val="24"/>
        </w:rPr>
      </w:pPr>
      <w:r>
        <w:rPr>
          <w:rFonts w:hint="eastAsia"/>
          <w:sz w:val="24"/>
        </w:rPr>
        <w:t>参选人</w:t>
      </w:r>
      <w:r>
        <w:rPr>
          <w:sz w:val="24"/>
        </w:rPr>
        <w:t>认为采购文件、采购过程、</w:t>
      </w:r>
      <w:r>
        <w:rPr>
          <w:rFonts w:hint="eastAsia"/>
          <w:sz w:val="24"/>
        </w:rPr>
        <w:t>中选</w:t>
      </w:r>
      <w:r>
        <w:rPr>
          <w:sz w:val="24"/>
        </w:rPr>
        <w:t>结果使自己的权益受到损害的，可以在知道或者应知其权益受到损害之日起7个工作日内，由</w:t>
      </w:r>
      <w:r>
        <w:rPr>
          <w:rFonts w:hint="eastAsia"/>
          <w:sz w:val="24"/>
        </w:rPr>
        <w:t>参选人</w:t>
      </w:r>
      <w:r>
        <w:rPr>
          <w:sz w:val="24"/>
        </w:rPr>
        <w:t>派授权代表以书面形式向采购人、采购代理机构提出质疑。采购人、采购代理机构在收到质疑函后7个工作日内作出答复。</w:t>
      </w:r>
    </w:p>
    <w:p w14:paraId="093062B8">
      <w:pPr>
        <w:numPr>
          <w:ilvl w:val="2"/>
          <w:numId w:val="14"/>
        </w:numPr>
        <w:snapToGrid w:val="0"/>
        <w:spacing w:line="360" w:lineRule="auto"/>
        <w:rPr>
          <w:sz w:val="24"/>
        </w:rPr>
      </w:pPr>
      <w:r>
        <w:rPr>
          <w:sz w:val="24"/>
        </w:rPr>
        <w:t>质疑函须使用财政部制定的范本文件。</w:t>
      </w:r>
    </w:p>
    <w:p w14:paraId="7E4D268A">
      <w:pPr>
        <w:numPr>
          <w:ilvl w:val="2"/>
          <w:numId w:val="14"/>
        </w:numPr>
        <w:snapToGrid w:val="0"/>
        <w:spacing w:line="360" w:lineRule="auto"/>
        <w:rPr>
          <w:sz w:val="24"/>
        </w:rPr>
      </w:pPr>
      <w:r>
        <w:rPr>
          <w:rFonts w:hint="eastAsia"/>
          <w:sz w:val="24"/>
        </w:rPr>
        <w:t>参选人</w:t>
      </w:r>
      <w:r>
        <w:rPr>
          <w:sz w:val="24"/>
        </w:rPr>
        <w:t>为自然人的，应当由本人签字；</w:t>
      </w:r>
      <w:r>
        <w:rPr>
          <w:rFonts w:hint="eastAsia"/>
          <w:sz w:val="24"/>
        </w:rPr>
        <w:t>参选人</w:t>
      </w:r>
      <w:r>
        <w:rPr>
          <w:sz w:val="24"/>
        </w:rPr>
        <w:t>为法人或者其他组织的，应当由法定代表人、主要负责人，或者其授权代表签字或者盖章，并加盖公章。</w:t>
      </w:r>
    </w:p>
    <w:p w14:paraId="15E7A3A3">
      <w:pPr>
        <w:numPr>
          <w:ilvl w:val="2"/>
          <w:numId w:val="14"/>
        </w:numPr>
        <w:snapToGrid w:val="0"/>
        <w:spacing w:line="360" w:lineRule="auto"/>
        <w:rPr>
          <w:sz w:val="24"/>
        </w:rPr>
      </w:pPr>
      <w:r>
        <w:rPr>
          <w:rFonts w:hint="eastAsia"/>
          <w:sz w:val="24"/>
        </w:rPr>
        <w:t>参选人</w:t>
      </w:r>
      <w:r>
        <w:rPr>
          <w:sz w:val="24"/>
        </w:rPr>
        <w:t>应在法定质疑期内一次性提出针对同一采购程序环节的质疑，法定质疑期内针对同一采购程序环节再次提出的质疑，采购人、采购代理机构有权不予答复。</w:t>
      </w:r>
    </w:p>
    <w:p w14:paraId="321B96DA">
      <w:pPr>
        <w:numPr>
          <w:ilvl w:val="1"/>
          <w:numId w:val="14"/>
        </w:numPr>
        <w:tabs>
          <w:tab w:val="left" w:pos="1080"/>
          <w:tab w:val="left" w:pos="2014"/>
        </w:tabs>
        <w:snapToGrid w:val="0"/>
        <w:spacing w:line="360" w:lineRule="auto"/>
        <w:ind w:left="1077" w:hanging="720"/>
        <w:rPr>
          <w:sz w:val="24"/>
        </w:rPr>
      </w:pPr>
      <w:r>
        <w:rPr>
          <w:sz w:val="24"/>
        </w:rPr>
        <w:t>接收询问和质疑的联系部门、联系电话和通讯地址见《</w:t>
      </w:r>
      <w:r>
        <w:rPr>
          <w:rFonts w:hint="eastAsia"/>
          <w:sz w:val="24"/>
        </w:rPr>
        <w:t>参选人</w:t>
      </w:r>
      <w:r>
        <w:rPr>
          <w:sz w:val="24"/>
        </w:rPr>
        <w:t>须知资料表》</w:t>
      </w:r>
      <w:r>
        <w:rPr>
          <w:rFonts w:hint="eastAsia"/>
          <w:sz w:val="24"/>
        </w:rPr>
        <w:t>。</w:t>
      </w:r>
    </w:p>
    <w:p w14:paraId="6A059312">
      <w:pPr>
        <w:numPr>
          <w:ilvl w:val="0"/>
          <w:numId w:val="14"/>
        </w:numPr>
        <w:tabs>
          <w:tab w:val="left" w:pos="360"/>
        </w:tabs>
        <w:snapToGrid w:val="0"/>
        <w:spacing w:line="360" w:lineRule="auto"/>
        <w:ind w:left="357" w:hanging="357"/>
        <w:outlineLvl w:val="1"/>
        <w:rPr>
          <w:sz w:val="24"/>
        </w:rPr>
      </w:pPr>
      <w:r>
        <w:rPr>
          <w:sz w:val="24"/>
        </w:rPr>
        <w:t>代理费</w:t>
      </w:r>
    </w:p>
    <w:p w14:paraId="2B8AABC3">
      <w:pPr>
        <w:numPr>
          <w:ilvl w:val="1"/>
          <w:numId w:val="14"/>
        </w:numPr>
        <w:tabs>
          <w:tab w:val="left" w:pos="1080"/>
          <w:tab w:val="left" w:pos="2014"/>
        </w:tabs>
        <w:snapToGrid w:val="0"/>
        <w:spacing w:line="360" w:lineRule="auto"/>
        <w:ind w:left="1077" w:hanging="720"/>
        <w:rPr>
          <w:sz w:val="24"/>
        </w:rPr>
      </w:pPr>
      <w:r>
        <w:rPr>
          <w:sz w:val="24"/>
        </w:rPr>
        <w:t>收费对象、收费标准及缴纳时间见《</w:t>
      </w:r>
      <w:r>
        <w:rPr>
          <w:rFonts w:hint="eastAsia"/>
          <w:sz w:val="24"/>
        </w:rPr>
        <w:t>参选人</w:t>
      </w:r>
      <w:r>
        <w:rPr>
          <w:sz w:val="24"/>
        </w:rPr>
        <w:t>须知资料表》。由</w:t>
      </w:r>
      <w:r>
        <w:rPr>
          <w:rFonts w:hint="eastAsia"/>
          <w:sz w:val="24"/>
        </w:rPr>
        <w:t>中选</w:t>
      </w:r>
      <w:r>
        <w:rPr>
          <w:sz w:val="24"/>
        </w:rPr>
        <w:t>人支付的，</w:t>
      </w:r>
      <w:r>
        <w:rPr>
          <w:rFonts w:hint="eastAsia"/>
          <w:sz w:val="24"/>
        </w:rPr>
        <w:t>中选</w:t>
      </w:r>
      <w:r>
        <w:rPr>
          <w:sz w:val="24"/>
        </w:rPr>
        <w:t>人须一次性向采购代理机构缴纳代理费，</w:t>
      </w:r>
      <w:r>
        <w:rPr>
          <w:rFonts w:hint="eastAsia"/>
          <w:sz w:val="24"/>
        </w:rPr>
        <w:t>比选报价</w:t>
      </w:r>
      <w:r>
        <w:rPr>
          <w:sz w:val="24"/>
        </w:rPr>
        <w:t>应包含代理费用。</w:t>
      </w:r>
    </w:p>
    <w:p w14:paraId="7369EA8B">
      <w:pPr>
        <w:tabs>
          <w:tab w:val="left" w:pos="900"/>
          <w:tab w:val="left" w:pos="1080"/>
          <w:tab w:val="left" w:pos="1589"/>
        </w:tabs>
        <w:snapToGrid w:val="0"/>
        <w:spacing w:line="360" w:lineRule="auto"/>
        <w:rPr>
          <w:sz w:val="24"/>
        </w:rPr>
      </w:pPr>
    </w:p>
    <w:p w14:paraId="3F898B3C">
      <w:pPr>
        <w:tabs>
          <w:tab w:val="left" w:pos="360"/>
          <w:tab w:val="left" w:pos="1080"/>
        </w:tabs>
        <w:snapToGrid w:val="0"/>
        <w:spacing w:line="360" w:lineRule="auto"/>
        <w:ind w:left="360"/>
        <w:rPr>
          <w:sz w:val="24"/>
        </w:rPr>
      </w:pPr>
    </w:p>
    <w:p w14:paraId="71A48DFC">
      <w:pPr>
        <w:spacing w:line="360" w:lineRule="auto"/>
        <w:jc w:val="center"/>
        <w:outlineLvl w:val="0"/>
        <w:rPr>
          <w:b/>
          <w:sz w:val="36"/>
          <w:szCs w:val="36"/>
        </w:rPr>
      </w:pPr>
      <w:bookmarkStart w:id="608" w:name="_Toc226965827"/>
      <w:bookmarkStart w:id="609" w:name="_Toc265228392"/>
      <w:bookmarkStart w:id="610" w:name="_Toc264969244"/>
      <w:bookmarkStart w:id="611" w:name="_Toc305158896"/>
      <w:bookmarkStart w:id="612" w:name="_Toc150480792"/>
      <w:bookmarkStart w:id="613" w:name="_Toc226337250"/>
      <w:bookmarkStart w:id="614" w:name="_Toc353873664"/>
      <w:bookmarkStart w:id="615" w:name="_Toc353873934"/>
      <w:bookmarkStart w:id="616" w:name="_Toc150774759"/>
      <w:bookmarkStart w:id="617" w:name="_Toc127151554"/>
      <w:bookmarkStart w:id="618" w:name="_Toc353825544"/>
      <w:bookmarkStart w:id="619" w:name="_Toc305158822"/>
      <w:bookmarkStart w:id="620" w:name="_Toc142311056"/>
      <w:r>
        <w:rPr>
          <w:sz w:val="24"/>
        </w:rPr>
        <w:br w:type="page"/>
      </w:r>
      <w:bookmarkStart w:id="621" w:name="_Toc15364"/>
      <w:r>
        <w:rPr>
          <w:b/>
          <w:sz w:val="36"/>
          <w:szCs w:val="36"/>
        </w:rPr>
        <w:t xml:space="preserve">第三章   </w:t>
      </w:r>
      <w:bookmarkEnd w:id="608"/>
      <w:bookmarkEnd w:id="609"/>
      <w:bookmarkEnd w:id="610"/>
      <w:bookmarkEnd w:id="611"/>
      <w:bookmarkEnd w:id="612"/>
      <w:bookmarkEnd w:id="613"/>
      <w:bookmarkEnd w:id="614"/>
      <w:bookmarkEnd w:id="615"/>
      <w:bookmarkEnd w:id="616"/>
      <w:bookmarkEnd w:id="617"/>
      <w:bookmarkEnd w:id="618"/>
      <w:bookmarkEnd w:id="619"/>
      <w:bookmarkEnd w:id="620"/>
      <w:r>
        <w:rPr>
          <w:b/>
          <w:sz w:val="36"/>
          <w:szCs w:val="36"/>
        </w:rPr>
        <w:t>资格审查</w:t>
      </w:r>
      <w:bookmarkEnd w:id="621"/>
      <w:bookmarkStart w:id="622" w:name="_Toc487900382"/>
    </w:p>
    <w:p w14:paraId="6CFF07CF">
      <w:pPr>
        <w:tabs>
          <w:tab w:val="left" w:pos="360"/>
          <w:tab w:val="left" w:pos="900"/>
        </w:tabs>
        <w:snapToGrid w:val="0"/>
        <w:spacing w:line="360" w:lineRule="auto"/>
        <w:jc w:val="left"/>
        <w:outlineLvl w:val="1"/>
        <w:rPr>
          <w:b/>
          <w:sz w:val="24"/>
        </w:rPr>
      </w:pPr>
      <w:bookmarkStart w:id="623" w:name="_Toc99301422"/>
      <w:r>
        <w:rPr>
          <w:b/>
          <w:sz w:val="24"/>
        </w:rPr>
        <w:t>一、资格审查程序</w:t>
      </w:r>
      <w:bookmarkEnd w:id="623"/>
    </w:p>
    <w:p w14:paraId="7064F741">
      <w:pPr>
        <w:numPr>
          <w:ilvl w:val="0"/>
          <w:numId w:val="17"/>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w:t>
      </w:r>
      <w:r>
        <w:rPr>
          <w:rFonts w:hint="eastAsia"/>
          <w:sz w:val="24"/>
        </w:rPr>
        <w:t>参选人</w:t>
      </w:r>
      <w:r>
        <w:rPr>
          <w:sz w:val="24"/>
        </w:rPr>
        <w:t>进行资格审查，并形成资格审查结果。</w:t>
      </w:r>
    </w:p>
    <w:p w14:paraId="1EDA6134">
      <w:pPr>
        <w:numPr>
          <w:ilvl w:val="0"/>
          <w:numId w:val="17"/>
        </w:numPr>
        <w:tabs>
          <w:tab w:val="left" w:pos="426"/>
          <w:tab w:val="left" w:pos="851"/>
          <w:tab w:val="clear" w:pos="900"/>
        </w:tabs>
        <w:snapToGrid w:val="0"/>
        <w:spacing w:line="360" w:lineRule="auto"/>
        <w:ind w:left="426" w:hanging="426"/>
        <w:outlineLvl w:val="1"/>
        <w:rPr>
          <w:sz w:val="24"/>
        </w:rPr>
      </w:pPr>
      <w:r>
        <w:rPr>
          <w:sz w:val="24"/>
        </w:rPr>
        <w:t>《资格审查要求》中对格式有要求的，除</w:t>
      </w:r>
      <w:r>
        <w:rPr>
          <w:rFonts w:hint="eastAsia"/>
          <w:sz w:val="24"/>
        </w:rPr>
        <w:t>比选文件</w:t>
      </w:r>
      <w:r>
        <w:rPr>
          <w:sz w:val="24"/>
        </w:rPr>
        <w:t>另有规定外，均为“实质性格式”文件。</w:t>
      </w:r>
    </w:p>
    <w:p w14:paraId="2B3B311D">
      <w:pPr>
        <w:numPr>
          <w:ilvl w:val="0"/>
          <w:numId w:val="17"/>
        </w:numPr>
        <w:tabs>
          <w:tab w:val="left" w:pos="426"/>
          <w:tab w:val="left" w:pos="851"/>
          <w:tab w:val="clear" w:pos="900"/>
        </w:tabs>
        <w:snapToGrid w:val="0"/>
        <w:spacing w:line="360" w:lineRule="auto"/>
        <w:ind w:left="426" w:hanging="426"/>
        <w:outlineLvl w:val="1"/>
        <w:rPr>
          <w:sz w:val="24"/>
        </w:rPr>
      </w:pPr>
      <w:r>
        <w:rPr>
          <w:rFonts w:hint="eastAsia"/>
          <w:sz w:val="24"/>
        </w:rPr>
        <w:t>参选人</w:t>
      </w:r>
      <w:r>
        <w:rPr>
          <w:sz w:val="24"/>
        </w:rPr>
        <w:t>《资格证明文件》有任何一项不符合《资格审查要求》的，资格审查不合格，其</w:t>
      </w:r>
      <w:r>
        <w:rPr>
          <w:b/>
          <w:sz w:val="24"/>
        </w:rPr>
        <w:t>投标无效</w:t>
      </w:r>
      <w:r>
        <w:rPr>
          <w:sz w:val="24"/>
        </w:rPr>
        <w:t>。</w:t>
      </w:r>
    </w:p>
    <w:p w14:paraId="072EF241">
      <w:pPr>
        <w:numPr>
          <w:ilvl w:val="0"/>
          <w:numId w:val="17"/>
        </w:numPr>
        <w:tabs>
          <w:tab w:val="left" w:pos="426"/>
          <w:tab w:val="left" w:pos="851"/>
          <w:tab w:val="clear" w:pos="900"/>
        </w:tabs>
        <w:snapToGrid w:val="0"/>
        <w:spacing w:line="360" w:lineRule="auto"/>
        <w:ind w:left="426" w:hanging="426"/>
        <w:outlineLvl w:val="1"/>
        <w:rPr>
          <w:sz w:val="24"/>
        </w:rPr>
      </w:pPr>
      <w:r>
        <w:rPr>
          <w:sz w:val="24"/>
        </w:rPr>
        <w:t>资格审查合格的</w:t>
      </w:r>
      <w:r>
        <w:rPr>
          <w:rFonts w:hint="eastAsia"/>
          <w:sz w:val="24"/>
        </w:rPr>
        <w:t>参选人</w:t>
      </w:r>
      <w:r>
        <w:rPr>
          <w:sz w:val="24"/>
        </w:rPr>
        <w:t>不足3家的，不进行评标。</w:t>
      </w:r>
    </w:p>
    <w:p w14:paraId="73FA0BF1">
      <w:pPr>
        <w:widowControl/>
        <w:jc w:val="left"/>
        <w:rPr>
          <w:sz w:val="24"/>
        </w:rPr>
      </w:pPr>
    </w:p>
    <w:p w14:paraId="3184A5D0">
      <w:pPr>
        <w:numPr>
          <w:ilvl w:val="0"/>
          <w:numId w:val="18"/>
        </w:numPr>
        <w:tabs>
          <w:tab w:val="left" w:pos="360"/>
          <w:tab w:val="left" w:pos="900"/>
        </w:tabs>
        <w:snapToGrid w:val="0"/>
        <w:spacing w:line="360" w:lineRule="auto"/>
        <w:jc w:val="left"/>
        <w:outlineLvl w:val="1"/>
        <w:rPr>
          <w:b/>
          <w:sz w:val="24"/>
        </w:rPr>
      </w:pPr>
      <w:r>
        <w:rPr>
          <w:b/>
          <w:sz w:val="24"/>
        </w:rPr>
        <w:t>资格审查要求</w:t>
      </w:r>
    </w:p>
    <w:tbl>
      <w:tblPr>
        <w:tblStyle w:val="5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1"/>
        <w:gridCol w:w="1638"/>
      </w:tblGrid>
      <w:tr w14:paraId="75D5C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33F15BB0">
            <w:pPr>
              <w:tabs>
                <w:tab w:val="left" w:pos="1080"/>
              </w:tabs>
              <w:snapToGrid w:val="0"/>
              <w:jc w:val="center"/>
              <w:rPr>
                <w:b/>
                <w:sz w:val="24"/>
              </w:rPr>
            </w:pPr>
            <w:r>
              <w:rPr>
                <w:b/>
                <w:sz w:val="24"/>
              </w:rPr>
              <w:t>序号</w:t>
            </w:r>
          </w:p>
        </w:tc>
        <w:tc>
          <w:tcPr>
            <w:tcW w:w="1067" w:type="pct"/>
            <w:vAlign w:val="center"/>
          </w:tcPr>
          <w:p w14:paraId="23B0F9C5">
            <w:pPr>
              <w:tabs>
                <w:tab w:val="left" w:pos="1080"/>
              </w:tabs>
              <w:snapToGrid w:val="0"/>
              <w:jc w:val="center"/>
              <w:rPr>
                <w:b/>
                <w:sz w:val="24"/>
              </w:rPr>
            </w:pPr>
            <w:r>
              <w:rPr>
                <w:b/>
                <w:sz w:val="24"/>
              </w:rPr>
              <w:t>审查因素</w:t>
            </w:r>
          </w:p>
        </w:tc>
        <w:tc>
          <w:tcPr>
            <w:tcW w:w="2596" w:type="pct"/>
            <w:vAlign w:val="center"/>
          </w:tcPr>
          <w:p w14:paraId="3752990E">
            <w:pPr>
              <w:tabs>
                <w:tab w:val="left" w:pos="1080"/>
              </w:tabs>
              <w:snapToGrid w:val="0"/>
              <w:jc w:val="center"/>
              <w:rPr>
                <w:b/>
                <w:sz w:val="24"/>
              </w:rPr>
            </w:pPr>
            <w:r>
              <w:rPr>
                <w:b/>
                <w:sz w:val="24"/>
              </w:rPr>
              <w:t>审查内容</w:t>
            </w:r>
          </w:p>
        </w:tc>
        <w:tc>
          <w:tcPr>
            <w:tcW w:w="882" w:type="pct"/>
            <w:vAlign w:val="center"/>
          </w:tcPr>
          <w:p w14:paraId="230EFAE7">
            <w:pPr>
              <w:tabs>
                <w:tab w:val="left" w:pos="1080"/>
              </w:tabs>
              <w:snapToGrid w:val="0"/>
              <w:jc w:val="center"/>
              <w:rPr>
                <w:b/>
                <w:sz w:val="24"/>
              </w:rPr>
            </w:pPr>
            <w:r>
              <w:rPr>
                <w:b/>
                <w:sz w:val="24"/>
              </w:rPr>
              <w:t>格式要求</w:t>
            </w:r>
          </w:p>
        </w:tc>
      </w:tr>
      <w:tr w14:paraId="3D79F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0302104">
            <w:pPr>
              <w:tabs>
                <w:tab w:val="left" w:pos="1080"/>
              </w:tabs>
              <w:snapToGrid w:val="0"/>
              <w:jc w:val="center"/>
              <w:rPr>
                <w:sz w:val="24"/>
              </w:rPr>
            </w:pPr>
            <w:r>
              <w:rPr>
                <w:rFonts w:hint="eastAsia"/>
                <w:sz w:val="24"/>
              </w:rPr>
              <w:t>1</w:t>
            </w:r>
          </w:p>
        </w:tc>
        <w:tc>
          <w:tcPr>
            <w:tcW w:w="1067" w:type="pct"/>
            <w:vAlign w:val="center"/>
          </w:tcPr>
          <w:p w14:paraId="62E4A04E">
            <w:pPr>
              <w:rPr>
                <w:rFonts w:ascii="宋体" w:hAnsi="宋体" w:cs="宋体"/>
                <w:sz w:val="24"/>
              </w:rPr>
            </w:pPr>
            <w:r>
              <w:rPr>
                <w:rFonts w:hint="eastAsia" w:ascii="宋体" w:hAnsi="宋体" w:cs="宋体"/>
                <w:sz w:val="24"/>
              </w:rPr>
              <w:t>响应文件</w:t>
            </w:r>
          </w:p>
        </w:tc>
        <w:tc>
          <w:tcPr>
            <w:tcW w:w="2596" w:type="pct"/>
            <w:vAlign w:val="center"/>
          </w:tcPr>
          <w:p w14:paraId="53ABED02">
            <w:pPr>
              <w:rPr>
                <w:rFonts w:ascii="宋体" w:hAnsi="宋体" w:cs="宋体"/>
                <w:sz w:val="24"/>
              </w:rPr>
            </w:pPr>
            <w:r>
              <w:rPr>
                <w:rFonts w:hint="eastAsia" w:ascii="宋体" w:hAnsi="宋体" w:cs="宋体"/>
                <w:sz w:val="24"/>
              </w:rPr>
              <w:t>响应文件数量符合参选人须知资料表相关要求。</w:t>
            </w:r>
          </w:p>
        </w:tc>
        <w:tc>
          <w:tcPr>
            <w:tcW w:w="882" w:type="pct"/>
            <w:vAlign w:val="center"/>
          </w:tcPr>
          <w:p w14:paraId="1E489C7A">
            <w:pPr>
              <w:snapToGrid w:val="0"/>
              <w:rPr>
                <w:rFonts w:ascii="宋体" w:hAnsi="宋体" w:cs="宋体"/>
                <w:sz w:val="24"/>
                <w:szCs w:val="22"/>
              </w:rPr>
            </w:pPr>
          </w:p>
        </w:tc>
      </w:tr>
      <w:tr w14:paraId="6693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4967CC4">
            <w:pPr>
              <w:tabs>
                <w:tab w:val="left" w:pos="1080"/>
              </w:tabs>
              <w:snapToGrid w:val="0"/>
              <w:jc w:val="center"/>
              <w:rPr>
                <w:sz w:val="24"/>
              </w:rPr>
            </w:pPr>
            <w:r>
              <w:rPr>
                <w:sz w:val="24"/>
              </w:rPr>
              <w:t>2</w:t>
            </w:r>
          </w:p>
        </w:tc>
        <w:tc>
          <w:tcPr>
            <w:tcW w:w="1067" w:type="pct"/>
            <w:vAlign w:val="center"/>
          </w:tcPr>
          <w:p w14:paraId="1ABEBD0F">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66BABE68">
            <w:pPr>
              <w:tabs>
                <w:tab w:val="left" w:pos="1080"/>
              </w:tabs>
              <w:snapToGrid w:val="0"/>
              <w:rPr>
                <w:sz w:val="24"/>
              </w:rPr>
            </w:pPr>
            <w:r>
              <w:rPr>
                <w:sz w:val="24"/>
              </w:rPr>
              <w:t>具体规定见第一章《</w:t>
            </w:r>
            <w:r>
              <w:rPr>
                <w:rFonts w:hint="eastAsia"/>
                <w:sz w:val="24"/>
              </w:rPr>
              <w:t>比选邀请</w:t>
            </w:r>
            <w:r>
              <w:rPr>
                <w:sz w:val="24"/>
              </w:rPr>
              <w:t>》</w:t>
            </w:r>
          </w:p>
        </w:tc>
        <w:tc>
          <w:tcPr>
            <w:tcW w:w="882" w:type="pct"/>
            <w:vAlign w:val="center"/>
          </w:tcPr>
          <w:p w14:paraId="04C50629">
            <w:pPr>
              <w:tabs>
                <w:tab w:val="left" w:pos="1080"/>
              </w:tabs>
              <w:snapToGrid w:val="0"/>
              <w:rPr>
                <w:sz w:val="24"/>
              </w:rPr>
            </w:pPr>
          </w:p>
        </w:tc>
      </w:tr>
      <w:tr w14:paraId="7EFD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9A3697D">
            <w:pPr>
              <w:tabs>
                <w:tab w:val="left" w:pos="1080"/>
              </w:tabs>
              <w:snapToGrid w:val="0"/>
              <w:jc w:val="center"/>
              <w:rPr>
                <w:sz w:val="24"/>
              </w:rPr>
            </w:pPr>
            <w:r>
              <w:rPr>
                <w:sz w:val="24"/>
              </w:rPr>
              <w:t>2-1</w:t>
            </w:r>
          </w:p>
        </w:tc>
        <w:tc>
          <w:tcPr>
            <w:tcW w:w="1067" w:type="pct"/>
            <w:vAlign w:val="center"/>
          </w:tcPr>
          <w:p w14:paraId="0030DB58">
            <w:pPr>
              <w:tabs>
                <w:tab w:val="left" w:pos="1080"/>
              </w:tabs>
              <w:snapToGrid w:val="0"/>
              <w:rPr>
                <w:sz w:val="24"/>
              </w:rPr>
            </w:pPr>
            <w:r>
              <w:rPr>
                <w:sz w:val="24"/>
              </w:rPr>
              <w:t>营业执照等证明文件</w:t>
            </w:r>
          </w:p>
        </w:tc>
        <w:tc>
          <w:tcPr>
            <w:tcW w:w="2596" w:type="pct"/>
            <w:vAlign w:val="center"/>
          </w:tcPr>
          <w:p w14:paraId="1B3BD50A">
            <w:pPr>
              <w:tabs>
                <w:tab w:val="left" w:pos="1080"/>
              </w:tabs>
              <w:snapToGrid w:val="0"/>
              <w:rPr>
                <w:sz w:val="24"/>
              </w:rPr>
            </w:pPr>
            <w:r>
              <w:rPr>
                <w:rFonts w:hint="eastAsia"/>
                <w:sz w:val="24"/>
              </w:rPr>
              <w:t>参选人</w:t>
            </w:r>
            <w:r>
              <w:rPr>
                <w:sz w:val="24"/>
              </w:rPr>
              <w:t>为企业（包括合伙企业）的，应提供有效的“营业执照”；</w:t>
            </w:r>
          </w:p>
          <w:p w14:paraId="67F7450D">
            <w:pPr>
              <w:tabs>
                <w:tab w:val="left" w:pos="1080"/>
              </w:tabs>
              <w:snapToGrid w:val="0"/>
              <w:rPr>
                <w:sz w:val="24"/>
              </w:rPr>
            </w:pPr>
            <w:r>
              <w:rPr>
                <w:rFonts w:hint="eastAsia"/>
                <w:sz w:val="24"/>
              </w:rPr>
              <w:t>参选人</w:t>
            </w:r>
            <w:r>
              <w:rPr>
                <w:sz w:val="24"/>
              </w:rPr>
              <w:t>为事业单位的，应提供有效的“事业单位法人证书”；</w:t>
            </w:r>
          </w:p>
          <w:p w14:paraId="577E16FB">
            <w:pPr>
              <w:tabs>
                <w:tab w:val="left" w:pos="1080"/>
              </w:tabs>
              <w:snapToGrid w:val="0"/>
              <w:rPr>
                <w:sz w:val="24"/>
              </w:rPr>
            </w:pPr>
            <w:r>
              <w:rPr>
                <w:rFonts w:hint="eastAsia"/>
                <w:sz w:val="24"/>
              </w:rPr>
              <w:t>参选人是非企业机构的，应提供有效的“执业许可证”、“登记证书”等证明文件；</w:t>
            </w:r>
          </w:p>
          <w:p w14:paraId="065530B5">
            <w:pPr>
              <w:tabs>
                <w:tab w:val="left" w:pos="1080"/>
              </w:tabs>
              <w:snapToGrid w:val="0"/>
              <w:rPr>
                <w:sz w:val="24"/>
              </w:rPr>
            </w:pPr>
            <w:r>
              <w:rPr>
                <w:rFonts w:hint="eastAsia"/>
                <w:sz w:val="24"/>
              </w:rPr>
              <w:t>参选人</w:t>
            </w:r>
            <w:r>
              <w:rPr>
                <w:sz w:val="24"/>
              </w:rPr>
              <w:t>是个体工商户的，应提供有效的“个体工商户营业执照”；</w:t>
            </w:r>
          </w:p>
          <w:p w14:paraId="222210A5">
            <w:pPr>
              <w:tabs>
                <w:tab w:val="left" w:pos="1080"/>
              </w:tabs>
              <w:snapToGrid w:val="0"/>
              <w:rPr>
                <w:sz w:val="24"/>
              </w:rPr>
            </w:pPr>
            <w:r>
              <w:rPr>
                <w:rFonts w:hint="eastAsia"/>
                <w:sz w:val="24"/>
              </w:rPr>
              <w:t>参选人</w:t>
            </w:r>
            <w:r>
              <w:rPr>
                <w:sz w:val="24"/>
              </w:rPr>
              <w:t>是自然人的，应提供有效的自然人身份证明。</w:t>
            </w:r>
          </w:p>
          <w:p w14:paraId="245013D4">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221FEDD2">
            <w:pPr>
              <w:tabs>
                <w:tab w:val="left" w:pos="1080"/>
              </w:tabs>
              <w:snapToGrid w:val="0"/>
              <w:rPr>
                <w:sz w:val="24"/>
              </w:rPr>
            </w:pPr>
            <w:r>
              <w:rPr>
                <w:sz w:val="24"/>
              </w:rPr>
              <w:t>提供证明文</w:t>
            </w:r>
            <w:r>
              <w:rPr>
                <w:rFonts w:hint="eastAsia"/>
                <w:sz w:val="24"/>
              </w:rPr>
              <w:t>件并加盖公章</w:t>
            </w:r>
          </w:p>
        </w:tc>
      </w:tr>
      <w:tr w14:paraId="1F42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2AE6B43">
            <w:pPr>
              <w:tabs>
                <w:tab w:val="left" w:pos="1080"/>
              </w:tabs>
              <w:snapToGrid w:val="0"/>
              <w:jc w:val="center"/>
              <w:rPr>
                <w:sz w:val="24"/>
              </w:rPr>
            </w:pPr>
            <w:r>
              <w:rPr>
                <w:sz w:val="24"/>
              </w:rPr>
              <w:t>2-2</w:t>
            </w:r>
          </w:p>
        </w:tc>
        <w:tc>
          <w:tcPr>
            <w:tcW w:w="1067" w:type="pct"/>
            <w:vAlign w:val="center"/>
          </w:tcPr>
          <w:p w14:paraId="4918DC13">
            <w:pPr>
              <w:tabs>
                <w:tab w:val="left" w:pos="1080"/>
              </w:tabs>
              <w:snapToGrid w:val="0"/>
              <w:rPr>
                <w:sz w:val="24"/>
              </w:rPr>
            </w:pPr>
            <w:r>
              <w:rPr>
                <w:rFonts w:hint="eastAsia"/>
                <w:sz w:val="24"/>
              </w:rPr>
              <w:t>参选人</w:t>
            </w:r>
            <w:r>
              <w:rPr>
                <w:sz w:val="24"/>
              </w:rPr>
              <w:t>资格声明书</w:t>
            </w:r>
          </w:p>
        </w:tc>
        <w:tc>
          <w:tcPr>
            <w:tcW w:w="2596" w:type="pct"/>
            <w:vAlign w:val="center"/>
          </w:tcPr>
          <w:p w14:paraId="2C864A1D">
            <w:pPr>
              <w:tabs>
                <w:tab w:val="left" w:pos="1080"/>
              </w:tabs>
              <w:snapToGrid w:val="0"/>
              <w:rPr>
                <w:sz w:val="24"/>
              </w:rPr>
            </w:pPr>
            <w:r>
              <w:rPr>
                <w:sz w:val="24"/>
              </w:rPr>
              <w:t>提供了符合</w:t>
            </w:r>
            <w:r>
              <w:rPr>
                <w:rFonts w:hint="eastAsia"/>
                <w:sz w:val="24"/>
              </w:rPr>
              <w:t>比选文件</w:t>
            </w:r>
            <w:r>
              <w:rPr>
                <w:sz w:val="24"/>
              </w:rPr>
              <w:t>要求的《</w:t>
            </w:r>
            <w:r>
              <w:rPr>
                <w:rFonts w:hint="eastAsia"/>
                <w:sz w:val="24"/>
              </w:rPr>
              <w:t>参选人</w:t>
            </w:r>
            <w:r>
              <w:rPr>
                <w:sz w:val="24"/>
              </w:rPr>
              <w:t>资格声明书》。</w:t>
            </w:r>
          </w:p>
        </w:tc>
        <w:tc>
          <w:tcPr>
            <w:tcW w:w="882" w:type="pct"/>
            <w:vAlign w:val="center"/>
          </w:tcPr>
          <w:p w14:paraId="2E3EA121">
            <w:pPr>
              <w:tabs>
                <w:tab w:val="left" w:pos="1080"/>
              </w:tabs>
              <w:snapToGrid w:val="0"/>
              <w:rPr>
                <w:sz w:val="24"/>
              </w:rPr>
            </w:pPr>
            <w:r>
              <w:rPr>
                <w:sz w:val="24"/>
              </w:rPr>
              <w:t>格式见《</w:t>
            </w:r>
            <w:r>
              <w:rPr>
                <w:rFonts w:hint="eastAsia"/>
                <w:sz w:val="24"/>
              </w:rPr>
              <w:t>响应文件</w:t>
            </w:r>
            <w:r>
              <w:rPr>
                <w:sz w:val="24"/>
              </w:rPr>
              <w:t>格式》</w:t>
            </w:r>
          </w:p>
        </w:tc>
      </w:tr>
      <w:tr w14:paraId="6324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8C42CEB">
            <w:pPr>
              <w:tabs>
                <w:tab w:val="left" w:pos="1080"/>
              </w:tabs>
              <w:snapToGrid w:val="0"/>
              <w:jc w:val="center"/>
              <w:rPr>
                <w:sz w:val="24"/>
              </w:rPr>
            </w:pPr>
            <w:r>
              <w:rPr>
                <w:sz w:val="24"/>
              </w:rPr>
              <w:t>2</w:t>
            </w:r>
            <w:r>
              <w:rPr>
                <w:rFonts w:hint="eastAsia"/>
                <w:sz w:val="24"/>
              </w:rPr>
              <w:t>-</w:t>
            </w:r>
            <w:r>
              <w:rPr>
                <w:sz w:val="24"/>
              </w:rPr>
              <w:t>3</w:t>
            </w:r>
          </w:p>
        </w:tc>
        <w:tc>
          <w:tcPr>
            <w:tcW w:w="1067" w:type="pct"/>
            <w:vAlign w:val="center"/>
          </w:tcPr>
          <w:p w14:paraId="53D3F21C">
            <w:pPr>
              <w:tabs>
                <w:tab w:val="left" w:pos="1080"/>
              </w:tabs>
              <w:snapToGrid w:val="0"/>
              <w:rPr>
                <w:sz w:val="24"/>
              </w:rPr>
            </w:pPr>
            <w:r>
              <w:rPr>
                <w:rFonts w:hint="eastAsia"/>
                <w:sz w:val="24"/>
              </w:rPr>
              <w:t>参选人</w:t>
            </w:r>
            <w:r>
              <w:rPr>
                <w:sz w:val="24"/>
              </w:rPr>
              <w:t>信用记录</w:t>
            </w:r>
          </w:p>
        </w:tc>
        <w:tc>
          <w:tcPr>
            <w:tcW w:w="2596" w:type="pct"/>
            <w:vAlign w:val="center"/>
          </w:tcPr>
          <w:p w14:paraId="77C5F021">
            <w:pPr>
              <w:tabs>
                <w:tab w:val="left" w:pos="1080"/>
              </w:tabs>
              <w:snapToGrid w:val="0"/>
              <w:rPr>
                <w:sz w:val="24"/>
              </w:rPr>
            </w:pPr>
            <w:r>
              <w:rPr>
                <w:rFonts w:hint="eastAsia"/>
                <w:sz w:val="24"/>
              </w:rPr>
              <w:t>查询渠道：信用中国网站和中国政府采购网（www.creditchina.gov.cn、www.ccgp.gov.cn）；</w:t>
            </w:r>
          </w:p>
          <w:p w14:paraId="15D4167C">
            <w:pPr>
              <w:tabs>
                <w:tab w:val="left" w:pos="1080"/>
              </w:tabs>
              <w:snapToGrid w:val="0"/>
              <w:rPr>
                <w:sz w:val="24"/>
              </w:rPr>
            </w:pPr>
            <w:r>
              <w:rPr>
                <w:rFonts w:hint="eastAsia"/>
                <w:sz w:val="24"/>
              </w:rPr>
              <w:t>查询时间：在比选报名开始时间至递交响应文件截止时间；</w:t>
            </w:r>
          </w:p>
          <w:p w14:paraId="2C8555D9">
            <w:pPr>
              <w:tabs>
                <w:tab w:val="left" w:pos="1080"/>
              </w:tabs>
              <w:snapToGrid w:val="0"/>
              <w:rPr>
                <w:sz w:val="24"/>
              </w:rPr>
            </w:pPr>
            <w:r>
              <w:rPr>
                <w:rFonts w:hint="eastAsia"/>
                <w:sz w:val="24"/>
              </w:rPr>
              <w:t>信用信息的使用原则：经认定的被列入失信被执行人、重大税收违法案件当事人名单、政府采购严重违法失信行为记录名单的参选人，其投标无效。联合体形式投标的，联合体成员存在不良信用记录，视同联合体存在不良信用记录。</w:t>
            </w:r>
          </w:p>
        </w:tc>
        <w:tc>
          <w:tcPr>
            <w:tcW w:w="882" w:type="pct"/>
            <w:vAlign w:val="center"/>
          </w:tcPr>
          <w:p w14:paraId="05DDCFCA">
            <w:pPr>
              <w:tabs>
                <w:tab w:val="left" w:pos="1080"/>
              </w:tabs>
              <w:snapToGrid w:val="0"/>
              <w:rPr>
                <w:sz w:val="24"/>
              </w:rPr>
            </w:pPr>
            <w:r>
              <w:rPr>
                <w:sz w:val="24"/>
              </w:rPr>
              <w:t>参选人</w:t>
            </w:r>
            <w:r>
              <w:rPr>
                <w:rFonts w:hint="eastAsia"/>
                <w:sz w:val="24"/>
              </w:rPr>
              <w:t>须提供查询网页截图，并加盖公章</w:t>
            </w:r>
          </w:p>
        </w:tc>
      </w:tr>
      <w:tr w14:paraId="12D4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02B8D08">
            <w:pPr>
              <w:tabs>
                <w:tab w:val="left" w:pos="1080"/>
              </w:tabs>
              <w:snapToGrid w:val="0"/>
              <w:jc w:val="center"/>
              <w:rPr>
                <w:sz w:val="24"/>
                <w:highlight w:val="none"/>
              </w:rPr>
            </w:pPr>
            <w:r>
              <w:rPr>
                <w:rFonts w:hint="eastAsia"/>
                <w:sz w:val="24"/>
                <w:highlight w:val="none"/>
              </w:rPr>
              <w:t>3</w:t>
            </w:r>
          </w:p>
        </w:tc>
        <w:tc>
          <w:tcPr>
            <w:tcW w:w="1067" w:type="pct"/>
            <w:vAlign w:val="center"/>
          </w:tcPr>
          <w:p w14:paraId="71BF68ED">
            <w:pPr>
              <w:tabs>
                <w:tab w:val="left" w:pos="1080"/>
              </w:tabs>
              <w:snapToGrid w:val="0"/>
              <w:rPr>
                <w:sz w:val="24"/>
                <w:highlight w:val="none"/>
              </w:rPr>
            </w:pPr>
            <w:r>
              <w:rPr>
                <w:sz w:val="24"/>
                <w:highlight w:val="none"/>
              </w:rPr>
              <w:t>落实政府采购政策需满足的资格要求</w:t>
            </w:r>
          </w:p>
        </w:tc>
        <w:tc>
          <w:tcPr>
            <w:tcW w:w="2596" w:type="pct"/>
            <w:vAlign w:val="center"/>
          </w:tcPr>
          <w:p w14:paraId="7A70BE84">
            <w:pPr>
              <w:tabs>
                <w:tab w:val="left" w:pos="1080"/>
              </w:tabs>
              <w:snapToGrid w:val="0"/>
              <w:rPr>
                <w:sz w:val="24"/>
                <w:highlight w:val="none"/>
              </w:rPr>
            </w:pPr>
            <w:r>
              <w:rPr>
                <w:sz w:val="24"/>
                <w:highlight w:val="none"/>
              </w:rPr>
              <w:t>具体要求见第一章《</w:t>
            </w:r>
            <w:r>
              <w:rPr>
                <w:rFonts w:hint="eastAsia"/>
                <w:sz w:val="24"/>
                <w:highlight w:val="none"/>
              </w:rPr>
              <w:t>比选邀请</w:t>
            </w:r>
            <w:r>
              <w:rPr>
                <w:sz w:val="24"/>
                <w:highlight w:val="none"/>
              </w:rPr>
              <w:t>》</w:t>
            </w:r>
          </w:p>
        </w:tc>
        <w:tc>
          <w:tcPr>
            <w:tcW w:w="882" w:type="pct"/>
            <w:vAlign w:val="center"/>
          </w:tcPr>
          <w:p w14:paraId="339DA9CA">
            <w:pPr>
              <w:tabs>
                <w:tab w:val="left" w:pos="1080"/>
              </w:tabs>
              <w:snapToGrid w:val="0"/>
              <w:rPr>
                <w:sz w:val="24"/>
                <w:highlight w:val="yellow"/>
              </w:rPr>
            </w:pPr>
          </w:p>
        </w:tc>
      </w:tr>
      <w:tr w14:paraId="233D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CE4375F">
            <w:pPr>
              <w:tabs>
                <w:tab w:val="left" w:pos="1080"/>
              </w:tabs>
              <w:snapToGrid w:val="0"/>
              <w:jc w:val="center"/>
              <w:rPr>
                <w:sz w:val="24"/>
                <w:highlight w:val="none"/>
              </w:rPr>
            </w:pPr>
            <w:r>
              <w:rPr>
                <w:rFonts w:hint="eastAsia"/>
                <w:sz w:val="24"/>
                <w:highlight w:val="none"/>
              </w:rPr>
              <w:t>3</w:t>
            </w:r>
            <w:r>
              <w:rPr>
                <w:sz w:val="24"/>
                <w:highlight w:val="none"/>
              </w:rPr>
              <w:t>-1</w:t>
            </w:r>
          </w:p>
        </w:tc>
        <w:tc>
          <w:tcPr>
            <w:tcW w:w="1067" w:type="pct"/>
            <w:vAlign w:val="center"/>
          </w:tcPr>
          <w:p w14:paraId="2DB75EB4">
            <w:pPr>
              <w:tabs>
                <w:tab w:val="left" w:pos="1080"/>
              </w:tabs>
              <w:snapToGrid w:val="0"/>
              <w:rPr>
                <w:sz w:val="24"/>
                <w:highlight w:val="none"/>
              </w:rPr>
            </w:pPr>
            <w:r>
              <w:rPr>
                <w:sz w:val="24"/>
                <w:highlight w:val="none"/>
              </w:rPr>
              <w:t>中小企业声明函</w:t>
            </w:r>
          </w:p>
          <w:p w14:paraId="10BCE67C">
            <w:pPr>
              <w:tabs>
                <w:tab w:val="left" w:pos="1080"/>
              </w:tabs>
              <w:snapToGrid w:val="0"/>
              <w:rPr>
                <w:sz w:val="24"/>
                <w:highlight w:val="none"/>
              </w:rPr>
            </w:pPr>
          </w:p>
        </w:tc>
        <w:tc>
          <w:tcPr>
            <w:tcW w:w="2596" w:type="pct"/>
            <w:vAlign w:val="center"/>
          </w:tcPr>
          <w:p w14:paraId="3D31A3F9">
            <w:pPr>
              <w:tabs>
                <w:tab w:val="left" w:pos="1080"/>
              </w:tabs>
              <w:snapToGrid w:val="0"/>
              <w:rPr>
                <w:sz w:val="24"/>
                <w:highlight w:val="none"/>
              </w:rPr>
            </w:pPr>
            <w:r>
              <w:rPr>
                <w:sz w:val="24"/>
                <w:highlight w:val="none"/>
              </w:rPr>
              <w:t>当本项目（包）涉及预留份额专门面向中小企业采购</w:t>
            </w:r>
            <w:r>
              <w:rPr>
                <w:rFonts w:hint="eastAsia"/>
                <w:sz w:val="24"/>
                <w:highlight w:val="none"/>
              </w:rPr>
              <w:t>，</w:t>
            </w:r>
            <w:r>
              <w:rPr>
                <w:rFonts w:hint="eastAsia"/>
                <w:sz w:val="24"/>
                <w:highlight w:val="none"/>
                <w:lang w:val="en-US" w:eastAsia="zh-CN"/>
              </w:rPr>
              <w:t>参选人须</w:t>
            </w:r>
            <w:r>
              <w:rPr>
                <w:sz w:val="24"/>
                <w:highlight w:val="none"/>
              </w:rPr>
              <w:t>在《资格证明文件》中提供。</w:t>
            </w:r>
          </w:p>
          <w:p w14:paraId="2812C0A8">
            <w:pPr>
              <w:tabs>
                <w:tab w:val="left" w:pos="1080"/>
              </w:tabs>
              <w:snapToGrid w:val="0"/>
              <w:rPr>
                <w:sz w:val="24"/>
                <w:highlight w:val="none"/>
              </w:rPr>
            </w:pPr>
            <w:r>
              <w:rPr>
                <w:rFonts w:hint="eastAsia"/>
                <w:sz w:val="24"/>
                <w:highlight w:val="none"/>
              </w:rPr>
              <w:t>1、参选人单独投标的，应提供中小企业声明函；如为监狱企业或</w:t>
            </w:r>
            <w:r>
              <w:rPr>
                <w:sz w:val="24"/>
                <w:highlight w:val="none"/>
              </w:rPr>
              <w:t>残疾人福利性单位</w:t>
            </w:r>
            <w:r>
              <w:rPr>
                <w:rFonts w:hint="eastAsia"/>
                <w:sz w:val="24"/>
                <w:highlight w:val="none"/>
              </w:rPr>
              <w:t>，不必提供中小企业声明函，但须按注1或注2要求提供证明材料。</w:t>
            </w:r>
          </w:p>
          <w:p w14:paraId="195C22C6">
            <w:pPr>
              <w:tabs>
                <w:tab w:val="left" w:pos="1080"/>
              </w:tabs>
              <w:snapToGrid w:val="0"/>
              <w:rPr>
                <w:sz w:val="24"/>
                <w:highlight w:val="none"/>
              </w:rPr>
            </w:pPr>
            <w:r>
              <w:rPr>
                <w:rFonts w:hint="eastAsia"/>
                <w:sz w:val="24"/>
                <w:highlight w:val="none"/>
              </w:rPr>
              <w:t>2、如比选文件</w:t>
            </w:r>
            <w:r>
              <w:rPr>
                <w:sz w:val="24"/>
                <w:highlight w:val="none"/>
              </w:rPr>
              <w:t>要求以联合体形式参加或者要求合同分包的，</w:t>
            </w:r>
            <w:r>
              <w:rPr>
                <w:rFonts w:hint="eastAsia"/>
                <w:sz w:val="24"/>
                <w:highlight w:val="none"/>
              </w:rPr>
              <w:t>且参选人为联合体或拟进行合同分包的，则</w:t>
            </w:r>
            <w:r>
              <w:rPr>
                <w:sz w:val="24"/>
                <w:highlight w:val="none"/>
              </w:rPr>
              <w:t>联合体中的中小企业、签订分包意向协议的中小企业具体情况须在《中小企业声明函》中如实填报。</w:t>
            </w:r>
            <w:r>
              <w:rPr>
                <w:rFonts w:hint="eastAsia"/>
                <w:sz w:val="24"/>
                <w:highlight w:val="none"/>
              </w:rPr>
              <w:t>上述中小企业如为监狱企业或</w:t>
            </w:r>
            <w:r>
              <w:rPr>
                <w:sz w:val="24"/>
                <w:highlight w:val="none"/>
              </w:rPr>
              <w:t>残疾人福利性单位</w:t>
            </w:r>
            <w:r>
              <w:rPr>
                <w:rFonts w:hint="eastAsia"/>
                <w:sz w:val="24"/>
                <w:highlight w:val="none"/>
              </w:rPr>
              <w:t>应在声明函中如实列明单位性质，并按注1或注2要求提供证明材料。</w:t>
            </w:r>
          </w:p>
          <w:p w14:paraId="537627A8">
            <w:pPr>
              <w:tabs>
                <w:tab w:val="left" w:pos="1080"/>
              </w:tabs>
              <w:snapToGrid w:val="0"/>
              <w:rPr>
                <w:sz w:val="24"/>
                <w:highlight w:val="none"/>
              </w:rPr>
            </w:pPr>
            <w:r>
              <w:rPr>
                <w:rFonts w:hint="eastAsia"/>
                <w:sz w:val="24"/>
                <w:highlight w:val="none"/>
              </w:rPr>
              <w:t>注1：</w:t>
            </w:r>
            <w:r>
              <w:rPr>
                <w:sz w:val="24"/>
                <w:highlight w:val="none"/>
              </w:rPr>
              <w:t>监狱企业须提供由省级以上监狱管理局（北京市含教育矫治局）、戒毒管理局（含新疆生产建设兵团）出具的属于监狱企业的证明文件。</w:t>
            </w:r>
          </w:p>
          <w:p w14:paraId="0CC49681">
            <w:pPr>
              <w:tabs>
                <w:tab w:val="left" w:pos="1080"/>
              </w:tabs>
              <w:snapToGrid w:val="0"/>
              <w:rPr>
                <w:sz w:val="24"/>
                <w:highlight w:val="none"/>
              </w:rPr>
            </w:pPr>
            <w:r>
              <w:rPr>
                <w:rFonts w:hint="eastAsia"/>
                <w:sz w:val="24"/>
                <w:highlight w:val="none"/>
              </w:rPr>
              <w:t>注2：</w:t>
            </w:r>
            <w:r>
              <w:rPr>
                <w:sz w:val="24"/>
                <w:highlight w:val="none"/>
              </w:rPr>
              <w:t>残疾人福利性单位须按</w:t>
            </w:r>
            <w:r>
              <w:rPr>
                <w:rFonts w:hint="eastAsia"/>
                <w:sz w:val="24"/>
                <w:highlight w:val="none"/>
              </w:rPr>
              <w:t>比选文件</w:t>
            </w:r>
            <w:r>
              <w:rPr>
                <w:sz w:val="24"/>
                <w:highlight w:val="none"/>
              </w:rPr>
              <w:t>要求提供《残疾人福利性单位声明函》。</w:t>
            </w:r>
          </w:p>
        </w:tc>
        <w:tc>
          <w:tcPr>
            <w:tcW w:w="882" w:type="pct"/>
            <w:vAlign w:val="center"/>
          </w:tcPr>
          <w:p w14:paraId="34431807">
            <w:pPr>
              <w:tabs>
                <w:tab w:val="left" w:pos="1080"/>
              </w:tabs>
              <w:snapToGrid w:val="0"/>
              <w:rPr>
                <w:sz w:val="24"/>
                <w:highlight w:val="none"/>
              </w:rPr>
            </w:pPr>
            <w:r>
              <w:rPr>
                <w:sz w:val="24"/>
                <w:highlight w:val="none"/>
              </w:rPr>
              <w:t>格式见《</w:t>
            </w:r>
            <w:r>
              <w:rPr>
                <w:rFonts w:hint="eastAsia"/>
                <w:sz w:val="24"/>
                <w:highlight w:val="none"/>
              </w:rPr>
              <w:t>响应文件</w:t>
            </w:r>
            <w:r>
              <w:rPr>
                <w:sz w:val="24"/>
                <w:highlight w:val="none"/>
              </w:rPr>
              <w:t>格式》</w:t>
            </w:r>
          </w:p>
        </w:tc>
      </w:tr>
      <w:tr w14:paraId="3D40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CEC4158">
            <w:pPr>
              <w:tabs>
                <w:tab w:val="left" w:pos="1080"/>
              </w:tabs>
              <w:snapToGrid w:val="0"/>
              <w:jc w:val="center"/>
              <w:rPr>
                <w:sz w:val="24"/>
              </w:rPr>
            </w:pPr>
            <w:r>
              <w:rPr>
                <w:rFonts w:hint="eastAsia"/>
                <w:sz w:val="24"/>
              </w:rPr>
              <w:t>4</w:t>
            </w:r>
          </w:p>
        </w:tc>
        <w:tc>
          <w:tcPr>
            <w:tcW w:w="1067" w:type="pct"/>
            <w:vAlign w:val="center"/>
          </w:tcPr>
          <w:p w14:paraId="513600FB">
            <w:pPr>
              <w:tabs>
                <w:tab w:val="left" w:pos="1080"/>
              </w:tabs>
              <w:snapToGrid w:val="0"/>
              <w:rPr>
                <w:sz w:val="24"/>
                <w:highlight w:val="none"/>
              </w:rPr>
            </w:pPr>
            <w:r>
              <w:rPr>
                <w:sz w:val="24"/>
                <w:highlight w:val="none"/>
              </w:rPr>
              <w:t>特定资格要求</w:t>
            </w:r>
          </w:p>
        </w:tc>
        <w:tc>
          <w:tcPr>
            <w:tcW w:w="2596" w:type="pct"/>
            <w:vAlign w:val="center"/>
          </w:tcPr>
          <w:p w14:paraId="162CEF60">
            <w:pPr>
              <w:tabs>
                <w:tab w:val="left" w:pos="1080"/>
              </w:tabs>
              <w:snapToGrid w:val="0"/>
              <w:rPr>
                <w:sz w:val="24"/>
                <w:highlight w:val="none"/>
              </w:rPr>
            </w:pPr>
            <w:r>
              <w:rPr>
                <w:rFonts w:hint="eastAsia"/>
                <w:sz w:val="24"/>
                <w:highlight w:val="none"/>
              </w:rPr>
              <w:t>/</w:t>
            </w:r>
          </w:p>
        </w:tc>
        <w:tc>
          <w:tcPr>
            <w:tcW w:w="882" w:type="pct"/>
            <w:vAlign w:val="center"/>
          </w:tcPr>
          <w:p w14:paraId="0460F57C">
            <w:pPr>
              <w:tabs>
                <w:tab w:val="left" w:pos="1080"/>
              </w:tabs>
              <w:snapToGrid w:val="0"/>
              <w:rPr>
                <w:sz w:val="24"/>
              </w:rPr>
            </w:pPr>
          </w:p>
        </w:tc>
      </w:tr>
      <w:tr w14:paraId="0B16D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EA43D12">
            <w:pPr>
              <w:tabs>
                <w:tab w:val="left" w:pos="1080"/>
              </w:tabs>
              <w:snapToGrid w:val="0"/>
              <w:jc w:val="center"/>
              <w:rPr>
                <w:sz w:val="24"/>
                <w:highlight w:val="none"/>
              </w:rPr>
            </w:pPr>
            <w:r>
              <w:rPr>
                <w:sz w:val="24"/>
                <w:highlight w:val="none"/>
              </w:rPr>
              <w:t>5</w:t>
            </w:r>
          </w:p>
        </w:tc>
        <w:tc>
          <w:tcPr>
            <w:tcW w:w="1067" w:type="pct"/>
            <w:vAlign w:val="center"/>
          </w:tcPr>
          <w:p w14:paraId="6B0CAD24">
            <w:pPr>
              <w:tabs>
                <w:tab w:val="left" w:pos="1080"/>
              </w:tabs>
              <w:snapToGrid w:val="0"/>
              <w:rPr>
                <w:sz w:val="24"/>
                <w:highlight w:val="none"/>
              </w:rPr>
            </w:pPr>
            <w:r>
              <w:rPr>
                <w:rFonts w:hint="eastAsia"/>
                <w:sz w:val="24"/>
                <w:highlight w:val="none"/>
              </w:rPr>
              <w:t>比选保证金</w:t>
            </w:r>
          </w:p>
        </w:tc>
        <w:tc>
          <w:tcPr>
            <w:tcW w:w="2596" w:type="pct"/>
            <w:vAlign w:val="center"/>
          </w:tcPr>
          <w:p w14:paraId="4FF797D5">
            <w:pPr>
              <w:tabs>
                <w:tab w:val="left" w:pos="1080"/>
              </w:tabs>
              <w:snapToGrid w:val="0"/>
              <w:rPr>
                <w:rFonts w:hint="eastAsia" w:eastAsia="宋体"/>
                <w:sz w:val="24"/>
                <w:highlight w:val="none"/>
                <w:lang w:eastAsia="zh-CN"/>
              </w:rPr>
            </w:pPr>
            <w:r>
              <w:rPr>
                <w:rFonts w:hint="eastAsia"/>
                <w:color w:val="000000"/>
                <w:kern w:val="0"/>
                <w:sz w:val="24"/>
                <w:highlight w:val="none"/>
                <w:lang w:val="en-US" w:eastAsia="zh-CN"/>
              </w:rPr>
              <w:t>/</w:t>
            </w:r>
          </w:p>
        </w:tc>
        <w:tc>
          <w:tcPr>
            <w:tcW w:w="882" w:type="pct"/>
            <w:vAlign w:val="center"/>
          </w:tcPr>
          <w:p w14:paraId="1B29E370">
            <w:pPr>
              <w:tabs>
                <w:tab w:val="left" w:pos="1080"/>
              </w:tabs>
              <w:snapToGrid w:val="0"/>
              <w:rPr>
                <w:sz w:val="24"/>
                <w:highlight w:val="none"/>
              </w:rPr>
            </w:pPr>
          </w:p>
        </w:tc>
      </w:tr>
      <w:tr w14:paraId="4BC8A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1E80E3">
            <w:pPr>
              <w:tabs>
                <w:tab w:val="left" w:pos="1080"/>
              </w:tabs>
              <w:snapToGrid w:val="0"/>
              <w:jc w:val="center"/>
              <w:rPr>
                <w:sz w:val="24"/>
              </w:rPr>
            </w:pPr>
            <w:r>
              <w:rPr>
                <w:sz w:val="24"/>
              </w:rPr>
              <w:t>6</w:t>
            </w:r>
          </w:p>
        </w:tc>
        <w:tc>
          <w:tcPr>
            <w:tcW w:w="1067" w:type="pct"/>
            <w:vAlign w:val="center"/>
          </w:tcPr>
          <w:p w14:paraId="06249C5D">
            <w:pPr>
              <w:rPr>
                <w:rFonts w:ascii="宋体" w:hAnsi="宋体" w:cs="宋体"/>
                <w:sz w:val="24"/>
              </w:rPr>
            </w:pPr>
            <w:r>
              <w:rPr>
                <w:rFonts w:hint="eastAsia" w:ascii="宋体" w:hAnsi="宋体" w:cs="宋体"/>
                <w:sz w:val="24"/>
              </w:rPr>
              <w:t>未出现应判定无效的其他情况</w:t>
            </w:r>
          </w:p>
        </w:tc>
        <w:tc>
          <w:tcPr>
            <w:tcW w:w="2596" w:type="pct"/>
            <w:vAlign w:val="center"/>
          </w:tcPr>
          <w:p w14:paraId="1CDBED0B">
            <w:pPr>
              <w:rPr>
                <w:rFonts w:ascii="宋体" w:hAnsi="宋体" w:cs="宋体"/>
                <w:sz w:val="24"/>
              </w:rPr>
            </w:pPr>
            <w:r>
              <w:rPr>
                <w:rFonts w:hint="eastAsia" w:ascii="宋体" w:hAnsi="宋体" w:cs="宋体"/>
                <w:sz w:val="24"/>
              </w:rPr>
              <w:t>法律、行政法规规定的其他条件。</w:t>
            </w:r>
          </w:p>
        </w:tc>
        <w:tc>
          <w:tcPr>
            <w:tcW w:w="882" w:type="pct"/>
            <w:vAlign w:val="center"/>
          </w:tcPr>
          <w:p w14:paraId="6FCFDE99">
            <w:pPr>
              <w:tabs>
                <w:tab w:val="left" w:pos="1080"/>
              </w:tabs>
              <w:snapToGrid w:val="0"/>
              <w:rPr>
                <w:sz w:val="24"/>
              </w:rPr>
            </w:pP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622"/>
    </w:tbl>
    <w:p w14:paraId="21B6BA5F">
      <w:pPr>
        <w:spacing w:line="360" w:lineRule="auto"/>
        <w:jc w:val="center"/>
        <w:outlineLvl w:val="0"/>
        <w:rPr>
          <w:b/>
          <w:sz w:val="36"/>
          <w:szCs w:val="36"/>
        </w:rPr>
      </w:pPr>
      <w:bookmarkStart w:id="624" w:name="_Toc127151779"/>
      <w:bookmarkStart w:id="625" w:name="_Toc353825550"/>
      <w:bookmarkStart w:id="626" w:name="_Toc353873940"/>
      <w:bookmarkStart w:id="627" w:name="_Toc226965858"/>
      <w:bookmarkStart w:id="628" w:name="_Toc127161490"/>
      <w:r>
        <w:rPr>
          <w:sz w:val="24"/>
        </w:rPr>
        <w:br w:type="page"/>
      </w:r>
      <w:bookmarkStart w:id="629" w:name="_Toc18412"/>
      <w:r>
        <w:rPr>
          <w:b/>
          <w:sz w:val="36"/>
          <w:szCs w:val="36"/>
        </w:rPr>
        <w:t xml:space="preserve">第四章   </w:t>
      </w:r>
      <w:bookmarkEnd w:id="624"/>
      <w:bookmarkEnd w:id="625"/>
      <w:bookmarkEnd w:id="626"/>
      <w:bookmarkEnd w:id="627"/>
      <w:bookmarkEnd w:id="628"/>
      <w:bookmarkStart w:id="630" w:name="_Hlt164229061"/>
      <w:bookmarkEnd w:id="630"/>
      <w:r>
        <w:rPr>
          <w:b/>
          <w:sz w:val="36"/>
          <w:szCs w:val="36"/>
        </w:rPr>
        <w:t>评标程序、评标方法和评标标准</w:t>
      </w:r>
      <w:bookmarkEnd w:id="629"/>
    </w:p>
    <w:p w14:paraId="0CFFFF08">
      <w:pPr>
        <w:tabs>
          <w:tab w:val="left" w:pos="360"/>
          <w:tab w:val="left" w:pos="900"/>
        </w:tabs>
        <w:snapToGrid w:val="0"/>
        <w:spacing w:line="360" w:lineRule="auto"/>
        <w:jc w:val="center"/>
        <w:outlineLvl w:val="1"/>
        <w:rPr>
          <w:b/>
        </w:rPr>
      </w:pPr>
      <w:r>
        <w:rPr>
          <w:b/>
          <w:sz w:val="24"/>
        </w:rPr>
        <w:t>一、评标方法</w:t>
      </w:r>
    </w:p>
    <w:p w14:paraId="2F128DB8">
      <w:pPr>
        <w:numPr>
          <w:ilvl w:val="0"/>
          <w:numId w:val="19"/>
        </w:numPr>
        <w:tabs>
          <w:tab w:val="left" w:pos="360"/>
        </w:tabs>
        <w:snapToGrid w:val="0"/>
        <w:spacing w:line="360" w:lineRule="auto"/>
        <w:outlineLvl w:val="1"/>
        <w:rPr>
          <w:sz w:val="24"/>
        </w:rPr>
      </w:pPr>
      <w:bookmarkStart w:id="631" w:name="_Toc151193711"/>
      <w:bookmarkStart w:id="632" w:name="_Toc127151541"/>
      <w:bookmarkStart w:id="633" w:name="_Toc305158809"/>
      <w:bookmarkStart w:id="634" w:name="_Toc164608655"/>
      <w:bookmarkStart w:id="635" w:name="_Toc142311043"/>
      <w:bookmarkStart w:id="636" w:name="_Toc127151742"/>
      <w:bookmarkStart w:id="637" w:name="_Toc149720834"/>
      <w:bookmarkStart w:id="638" w:name="_Toc151193783"/>
      <w:bookmarkStart w:id="639" w:name="_Toc150774746"/>
      <w:bookmarkStart w:id="640" w:name="_Toc264969231"/>
      <w:bookmarkStart w:id="641" w:name="_Toc164229236"/>
      <w:bookmarkStart w:id="642" w:name="_Toc305158883"/>
      <w:bookmarkStart w:id="643" w:name="_Toc226965731"/>
      <w:bookmarkStart w:id="644" w:name="_Toc150509292"/>
      <w:bookmarkStart w:id="645" w:name="_Toc226337237"/>
      <w:bookmarkStart w:id="646" w:name="_Toc127161455"/>
      <w:bookmarkStart w:id="647" w:name="_Toc164608810"/>
      <w:bookmarkStart w:id="648" w:name="_Toc151190168"/>
      <w:bookmarkStart w:id="649" w:name="_Toc151193855"/>
      <w:bookmarkStart w:id="650" w:name="_Toc150774641"/>
      <w:bookmarkStart w:id="651" w:name="_Toc164351635"/>
      <w:bookmarkStart w:id="652" w:name="_Toc151193639"/>
      <w:bookmarkStart w:id="653" w:name="_Toc164229382"/>
      <w:bookmarkStart w:id="654" w:name="_Toc226965814"/>
      <w:bookmarkStart w:id="655" w:name="_Toc150480779"/>
      <w:bookmarkStart w:id="656" w:name="_Toc195842906"/>
      <w:bookmarkStart w:id="657" w:name="_Toc151193929"/>
      <w:bookmarkStart w:id="658" w:name="_Toc265228379"/>
      <w:bookmarkStart w:id="659" w:name="_Toc226309785"/>
      <w:bookmarkStart w:id="660" w:name="_Toc353873941"/>
      <w:bookmarkStart w:id="661" w:name="_Toc353825551"/>
      <w:bookmarkStart w:id="662" w:name="_Toc305158897"/>
      <w:bookmarkStart w:id="663" w:name="_Toc265228393"/>
      <w:bookmarkStart w:id="664" w:name="_Toc150480793"/>
      <w:bookmarkStart w:id="665" w:name="_Toc226337251"/>
      <w:bookmarkStart w:id="666" w:name="_Toc195842920"/>
      <w:bookmarkStart w:id="667" w:name="_Toc353825545"/>
      <w:bookmarkStart w:id="668" w:name="_Toc353873665"/>
      <w:bookmarkStart w:id="669" w:name="_Toc226965828"/>
      <w:bookmarkStart w:id="670" w:name="_Toc264969245"/>
      <w:bookmarkStart w:id="671" w:name="_Toc150774760"/>
      <w:bookmarkStart w:id="672" w:name="_Toc142311057"/>
      <w:bookmarkStart w:id="673" w:name="_Toc305158823"/>
      <w:bookmarkStart w:id="674" w:name="_Toc353873935"/>
      <w:bookmarkStart w:id="675" w:name="_Toc127151555"/>
      <w:r>
        <w:rPr>
          <w:rFonts w:hint="eastAsia"/>
          <w:sz w:val="24"/>
        </w:rPr>
        <w:t>响应文件</w:t>
      </w:r>
      <w:r>
        <w:rPr>
          <w:sz w:val="24"/>
        </w:rPr>
        <w:t>的符合性审查</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399F498">
      <w:pPr>
        <w:numPr>
          <w:ilvl w:val="1"/>
          <w:numId w:val="19"/>
        </w:numPr>
        <w:tabs>
          <w:tab w:val="left" w:pos="1080"/>
        </w:tabs>
        <w:snapToGrid w:val="0"/>
        <w:spacing w:line="360" w:lineRule="auto"/>
        <w:ind w:left="1077" w:hanging="720"/>
        <w:rPr>
          <w:sz w:val="24"/>
        </w:rPr>
      </w:pPr>
      <w:r>
        <w:rPr>
          <w:sz w:val="24"/>
        </w:rPr>
        <w:t>评标委员会对资格审查合格的</w:t>
      </w:r>
      <w:r>
        <w:rPr>
          <w:rFonts w:hint="eastAsia"/>
          <w:sz w:val="24"/>
        </w:rPr>
        <w:t>参选人</w:t>
      </w:r>
      <w:r>
        <w:rPr>
          <w:sz w:val="24"/>
        </w:rPr>
        <w:t>的</w:t>
      </w:r>
      <w:r>
        <w:rPr>
          <w:rFonts w:hint="eastAsia"/>
          <w:sz w:val="24"/>
        </w:rPr>
        <w:t>响应文件</w:t>
      </w:r>
      <w:r>
        <w:rPr>
          <w:sz w:val="24"/>
        </w:rPr>
        <w:t>进行符合性审查，以确定其是否满足</w:t>
      </w:r>
      <w:r>
        <w:rPr>
          <w:rFonts w:hint="eastAsia"/>
          <w:sz w:val="24"/>
        </w:rPr>
        <w:t>比选文件</w:t>
      </w:r>
      <w:r>
        <w:rPr>
          <w:sz w:val="24"/>
        </w:rPr>
        <w:t>的实质性要求。</w:t>
      </w:r>
      <w:bookmarkStart w:id="676" w:name="_Toc520356167"/>
    </w:p>
    <w:p w14:paraId="3304E88C">
      <w:pPr>
        <w:numPr>
          <w:ilvl w:val="1"/>
          <w:numId w:val="19"/>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w:t>
      </w:r>
      <w:r>
        <w:rPr>
          <w:rFonts w:hint="eastAsia"/>
          <w:sz w:val="24"/>
        </w:rPr>
        <w:t>参选人</w:t>
      </w:r>
      <w:r>
        <w:rPr>
          <w:sz w:val="24"/>
        </w:rPr>
        <w:t>的</w:t>
      </w:r>
      <w:r>
        <w:rPr>
          <w:rFonts w:hint="eastAsia"/>
          <w:sz w:val="24"/>
        </w:rPr>
        <w:t>响应文件</w:t>
      </w:r>
      <w:r>
        <w:rPr>
          <w:sz w:val="24"/>
        </w:rPr>
        <w:t>是否实质上响应</w:t>
      </w:r>
      <w:r>
        <w:rPr>
          <w:rFonts w:hint="eastAsia"/>
          <w:sz w:val="24"/>
        </w:rPr>
        <w:t>比选文件</w:t>
      </w:r>
      <w:r>
        <w:rPr>
          <w:sz w:val="24"/>
        </w:rPr>
        <w:t>进行符合性审查，并形成符合性审查评审结果。</w:t>
      </w:r>
      <w:r>
        <w:rPr>
          <w:rFonts w:hint="eastAsia"/>
          <w:sz w:val="24"/>
        </w:rPr>
        <w:t>参选人《商务技术文件》有任何一项不符合</w:t>
      </w:r>
      <w:r>
        <w:rPr>
          <w:sz w:val="24"/>
        </w:rPr>
        <w:t>《符合性审查</w:t>
      </w:r>
      <w:r>
        <w:rPr>
          <w:rFonts w:hint="eastAsia"/>
          <w:sz w:val="24"/>
        </w:rPr>
        <w:t>要求</w:t>
      </w:r>
      <w:r>
        <w:rPr>
          <w:sz w:val="24"/>
        </w:rPr>
        <w:t>》</w:t>
      </w:r>
      <w:bookmarkEnd w:id="676"/>
      <w:r>
        <w:rPr>
          <w:rFonts w:hint="eastAsia"/>
          <w:sz w:val="24"/>
        </w:rPr>
        <w:t>要求的，</w:t>
      </w:r>
      <w:r>
        <w:rPr>
          <w:rFonts w:hint="eastAsia"/>
          <w:b/>
          <w:sz w:val="24"/>
        </w:rPr>
        <w:t>投标无效</w:t>
      </w:r>
      <w:r>
        <w:rPr>
          <w:rFonts w:hint="eastAsia"/>
          <w:sz w:val="24"/>
        </w:rPr>
        <w:t>。</w:t>
      </w:r>
    </w:p>
    <w:p w14:paraId="7D371B50">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w:t>
      </w:r>
      <w:r>
        <w:rPr>
          <w:rFonts w:hint="eastAsia"/>
          <w:b/>
          <w:sz w:val="24"/>
        </w:rPr>
        <w:t>要求</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4"/>
      </w:tblGrid>
      <w:tr w14:paraId="36E2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21412D42">
            <w:pPr>
              <w:widowControl/>
              <w:jc w:val="center"/>
              <w:rPr>
                <w:b/>
                <w:color w:val="000000"/>
                <w:kern w:val="0"/>
                <w:sz w:val="24"/>
              </w:rPr>
            </w:pPr>
            <w:r>
              <w:rPr>
                <w:b/>
                <w:color w:val="000000"/>
                <w:kern w:val="0"/>
                <w:sz w:val="24"/>
              </w:rPr>
              <w:t>序号</w:t>
            </w:r>
          </w:p>
        </w:tc>
        <w:tc>
          <w:tcPr>
            <w:tcW w:w="976" w:type="pct"/>
            <w:vAlign w:val="center"/>
          </w:tcPr>
          <w:p w14:paraId="51F55A6D">
            <w:pPr>
              <w:widowControl/>
              <w:jc w:val="center"/>
              <w:rPr>
                <w:b/>
                <w:color w:val="000000"/>
                <w:kern w:val="0"/>
                <w:sz w:val="24"/>
              </w:rPr>
            </w:pPr>
            <w:r>
              <w:rPr>
                <w:b/>
                <w:color w:val="000000"/>
                <w:kern w:val="0"/>
                <w:sz w:val="24"/>
              </w:rPr>
              <w:t>审查因素</w:t>
            </w:r>
          </w:p>
        </w:tc>
        <w:tc>
          <w:tcPr>
            <w:tcW w:w="3620" w:type="pct"/>
            <w:vAlign w:val="center"/>
          </w:tcPr>
          <w:p w14:paraId="0E4B9AC4">
            <w:pPr>
              <w:widowControl/>
              <w:jc w:val="center"/>
              <w:rPr>
                <w:b/>
                <w:color w:val="000000"/>
                <w:kern w:val="0"/>
                <w:sz w:val="24"/>
              </w:rPr>
            </w:pPr>
            <w:r>
              <w:rPr>
                <w:b/>
                <w:color w:val="000000"/>
                <w:kern w:val="0"/>
                <w:sz w:val="24"/>
              </w:rPr>
              <w:t>审查内容</w:t>
            </w:r>
          </w:p>
        </w:tc>
      </w:tr>
      <w:tr w14:paraId="0998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CD1BEB">
            <w:pPr>
              <w:widowControl/>
              <w:jc w:val="center"/>
              <w:rPr>
                <w:color w:val="000000"/>
                <w:kern w:val="0"/>
                <w:sz w:val="24"/>
              </w:rPr>
            </w:pPr>
            <w:r>
              <w:rPr>
                <w:color w:val="000000"/>
                <w:kern w:val="0"/>
                <w:sz w:val="24"/>
              </w:rPr>
              <w:t>1</w:t>
            </w:r>
          </w:p>
        </w:tc>
        <w:tc>
          <w:tcPr>
            <w:tcW w:w="976" w:type="pct"/>
            <w:vAlign w:val="center"/>
          </w:tcPr>
          <w:p w14:paraId="7DDC657A">
            <w:pPr>
              <w:widowControl/>
              <w:jc w:val="left"/>
              <w:rPr>
                <w:color w:val="000000"/>
                <w:kern w:val="0"/>
                <w:sz w:val="24"/>
              </w:rPr>
            </w:pPr>
            <w:r>
              <w:rPr>
                <w:color w:val="000000"/>
                <w:kern w:val="0"/>
                <w:sz w:val="24"/>
              </w:rPr>
              <w:t>授权委托书</w:t>
            </w:r>
          </w:p>
        </w:tc>
        <w:tc>
          <w:tcPr>
            <w:tcW w:w="3620" w:type="pct"/>
            <w:vAlign w:val="center"/>
          </w:tcPr>
          <w:p w14:paraId="3DF761B8">
            <w:pPr>
              <w:widowControl/>
              <w:jc w:val="left"/>
              <w:rPr>
                <w:color w:val="000000"/>
                <w:kern w:val="0"/>
                <w:sz w:val="24"/>
              </w:rPr>
            </w:pPr>
            <w:r>
              <w:rPr>
                <w:color w:val="000000"/>
                <w:kern w:val="0"/>
                <w:sz w:val="24"/>
              </w:rPr>
              <w:t>按</w:t>
            </w:r>
            <w:r>
              <w:rPr>
                <w:rFonts w:hint="eastAsia"/>
                <w:color w:val="000000"/>
                <w:kern w:val="0"/>
                <w:sz w:val="24"/>
              </w:rPr>
              <w:t>比选文件</w:t>
            </w:r>
            <w:r>
              <w:rPr>
                <w:color w:val="000000"/>
                <w:kern w:val="0"/>
                <w:sz w:val="24"/>
              </w:rPr>
              <w:t>要求提供授权委托书；</w:t>
            </w:r>
          </w:p>
        </w:tc>
      </w:tr>
      <w:tr w14:paraId="4D9D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DC242FF">
            <w:pPr>
              <w:widowControl/>
              <w:jc w:val="center"/>
              <w:rPr>
                <w:color w:val="000000"/>
                <w:kern w:val="0"/>
                <w:sz w:val="24"/>
              </w:rPr>
            </w:pPr>
            <w:r>
              <w:rPr>
                <w:color w:val="000000"/>
                <w:kern w:val="0"/>
                <w:sz w:val="24"/>
              </w:rPr>
              <w:t>2</w:t>
            </w:r>
          </w:p>
        </w:tc>
        <w:tc>
          <w:tcPr>
            <w:tcW w:w="976" w:type="pct"/>
            <w:vAlign w:val="center"/>
          </w:tcPr>
          <w:p w14:paraId="626AF7E4">
            <w:pPr>
              <w:widowControl/>
              <w:jc w:val="left"/>
              <w:rPr>
                <w:color w:val="000000"/>
                <w:kern w:val="0"/>
                <w:sz w:val="24"/>
              </w:rPr>
            </w:pPr>
            <w:r>
              <w:rPr>
                <w:color w:val="000000"/>
                <w:kern w:val="0"/>
                <w:sz w:val="24"/>
              </w:rPr>
              <w:t>投标完整性</w:t>
            </w:r>
          </w:p>
        </w:tc>
        <w:tc>
          <w:tcPr>
            <w:tcW w:w="3620" w:type="pct"/>
            <w:vAlign w:val="center"/>
          </w:tcPr>
          <w:p w14:paraId="72ECC521">
            <w:pPr>
              <w:widowControl/>
              <w:jc w:val="left"/>
              <w:rPr>
                <w:color w:val="000000"/>
                <w:kern w:val="0"/>
                <w:sz w:val="24"/>
              </w:rPr>
            </w:pPr>
            <w:r>
              <w:rPr>
                <w:rFonts w:hint="eastAsia"/>
                <w:sz w:val="24"/>
              </w:rPr>
              <w:t>未</w:t>
            </w:r>
            <w:r>
              <w:rPr>
                <w:sz w:val="24"/>
              </w:rPr>
              <w:t>将一个采购包中的内容拆开投标；</w:t>
            </w:r>
          </w:p>
        </w:tc>
      </w:tr>
      <w:tr w14:paraId="1E3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BC14254">
            <w:pPr>
              <w:widowControl/>
              <w:jc w:val="center"/>
              <w:rPr>
                <w:color w:val="000000"/>
                <w:kern w:val="0"/>
                <w:sz w:val="24"/>
              </w:rPr>
            </w:pPr>
            <w:r>
              <w:rPr>
                <w:color w:val="000000"/>
                <w:kern w:val="0"/>
                <w:sz w:val="24"/>
              </w:rPr>
              <w:t>3</w:t>
            </w:r>
          </w:p>
        </w:tc>
        <w:tc>
          <w:tcPr>
            <w:tcW w:w="976" w:type="pct"/>
            <w:vAlign w:val="center"/>
          </w:tcPr>
          <w:p w14:paraId="778AE1EB">
            <w:pPr>
              <w:widowControl/>
              <w:jc w:val="left"/>
              <w:rPr>
                <w:color w:val="000000"/>
                <w:kern w:val="0"/>
                <w:sz w:val="24"/>
              </w:rPr>
            </w:pPr>
            <w:r>
              <w:rPr>
                <w:rFonts w:hint="eastAsia"/>
                <w:color w:val="000000"/>
                <w:kern w:val="0"/>
                <w:sz w:val="24"/>
              </w:rPr>
              <w:t>比选报价</w:t>
            </w:r>
          </w:p>
        </w:tc>
        <w:tc>
          <w:tcPr>
            <w:tcW w:w="3620" w:type="pct"/>
            <w:vAlign w:val="center"/>
          </w:tcPr>
          <w:p w14:paraId="0A9495D1">
            <w:pPr>
              <w:widowControl/>
              <w:jc w:val="left"/>
              <w:rPr>
                <w:color w:val="000000"/>
                <w:kern w:val="0"/>
                <w:sz w:val="24"/>
              </w:rPr>
            </w:pPr>
            <w:r>
              <w:rPr>
                <w:rFonts w:hint="eastAsia"/>
                <w:color w:val="000000"/>
                <w:kern w:val="0"/>
                <w:sz w:val="24"/>
              </w:rPr>
              <w:t>比选报价未</w:t>
            </w:r>
            <w:r>
              <w:rPr>
                <w:color w:val="000000"/>
                <w:sz w:val="24"/>
              </w:rPr>
              <w:t>超过</w:t>
            </w:r>
            <w:r>
              <w:rPr>
                <w:rFonts w:hint="eastAsia"/>
                <w:color w:val="000000"/>
                <w:sz w:val="24"/>
              </w:rPr>
              <w:t>比选文件</w:t>
            </w:r>
            <w:r>
              <w:rPr>
                <w:color w:val="000000"/>
                <w:sz w:val="24"/>
              </w:rPr>
              <w:t>中规定的项目/采购包预算金额或者项目/采购包最高限价</w:t>
            </w:r>
            <w:r>
              <w:rPr>
                <w:color w:val="000000"/>
                <w:kern w:val="0"/>
                <w:sz w:val="24"/>
              </w:rPr>
              <w:t>；</w:t>
            </w:r>
          </w:p>
        </w:tc>
      </w:tr>
      <w:tr w14:paraId="2F19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7B79767">
            <w:pPr>
              <w:widowControl/>
              <w:jc w:val="center"/>
              <w:rPr>
                <w:color w:val="000000"/>
                <w:kern w:val="0"/>
                <w:sz w:val="24"/>
              </w:rPr>
            </w:pPr>
            <w:r>
              <w:rPr>
                <w:color w:val="000000"/>
                <w:kern w:val="0"/>
                <w:sz w:val="24"/>
              </w:rPr>
              <w:t>4</w:t>
            </w:r>
          </w:p>
        </w:tc>
        <w:tc>
          <w:tcPr>
            <w:tcW w:w="976" w:type="pct"/>
            <w:vAlign w:val="center"/>
          </w:tcPr>
          <w:p w14:paraId="121AF3EB">
            <w:pPr>
              <w:widowControl/>
              <w:jc w:val="left"/>
              <w:rPr>
                <w:color w:val="000000"/>
                <w:kern w:val="0"/>
                <w:sz w:val="24"/>
              </w:rPr>
            </w:pPr>
            <w:r>
              <w:rPr>
                <w:color w:val="000000"/>
                <w:kern w:val="0"/>
                <w:sz w:val="24"/>
              </w:rPr>
              <w:t>报价唯一性</w:t>
            </w:r>
          </w:p>
        </w:tc>
        <w:tc>
          <w:tcPr>
            <w:tcW w:w="3620" w:type="pct"/>
            <w:vAlign w:val="center"/>
          </w:tcPr>
          <w:p w14:paraId="31B952C4">
            <w:pPr>
              <w:widowControl/>
              <w:jc w:val="left"/>
              <w:rPr>
                <w:color w:val="000000"/>
                <w:kern w:val="0"/>
                <w:sz w:val="24"/>
              </w:rPr>
            </w:pPr>
            <w:r>
              <w:rPr>
                <w:rFonts w:hint="eastAsia"/>
                <w:color w:val="000000"/>
                <w:kern w:val="0"/>
                <w:sz w:val="24"/>
              </w:rPr>
              <w:t>响应文件未</w:t>
            </w:r>
            <w:r>
              <w:rPr>
                <w:rFonts w:hint="eastAsia"/>
                <w:sz w:val="24"/>
              </w:rPr>
              <w:t>出现可选择性或可调整的报价（比选文件另有规定的除外）</w:t>
            </w:r>
            <w:r>
              <w:rPr>
                <w:color w:val="000000"/>
                <w:kern w:val="0"/>
                <w:sz w:val="24"/>
              </w:rPr>
              <w:t>；</w:t>
            </w:r>
          </w:p>
        </w:tc>
      </w:tr>
      <w:tr w14:paraId="5B08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0262E94">
            <w:pPr>
              <w:widowControl/>
              <w:jc w:val="center"/>
              <w:rPr>
                <w:color w:val="000000"/>
                <w:kern w:val="0"/>
                <w:sz w:val="24"/>
              </w:rPr>
            </w:pPr>
            <w:r>
              <w:rPr>
                <w:color w:val="000000"/>
                <w:kern w:val="0"/>
                <w:sz w:val="24"/>
              </w:rPr>
              <w:t>5</w:t>
            </w:r>
          </w:p>
        </w:tc>
        <w:tc>
          <w:tcPr>
            <w:tcW w:w="976" w:type="pct"/>
            <w:vAlign w:val="center"/>
          </w:tcPr>
          <w:p w14:paraId="541EAF8E">
            <w:pPr>
              <w:widowControl/>
              <w:jc w:val="left"/>
              <w:rPr>
                <w:color w:val="000000"/>
                <w:kern w:val="0"/>
                <w:sz w:val="24"/>
              </w:rPr>
            </w:pPr>
            <w:r>
              <w:rPr>
                <w:rFonts w:hint="eastAsia"/>
                <w:color w:val="000000"/>
                <w:kern w:val="0"/>
                <w:sz w:val="24"/>
              </w:rPr>
              <w:t>比选有效期</w:t>
            </w:r>
          </w:p>
        </w:tc>
        <w:tc>
          <w:tcPr>
            <w:tcW w:w="3620" w:type="pct"/>
            <w:vAlign w:val="center"/>
          </w:tcPr>
          <w:p w14:paraId="796B3277">
            <w:pPr>
              <w:widowControl/>
              <w:jc w:val="left"/>
              <w:rPr>
                <w:color w:val="000000"/>
                <w:kern w:val="0"/>
                <w:sz w:val="24"/>
              </w:rPr>
            </w:pPr>
            <w:r>
              <w:rPr>
                <w:rFonts w:hint="eastAsia"/>
                <w:color w:val="000000"/>
                <w:kern w:val="0"/>
                <w:sz w:val="24"/>
              </w:rPr>
              <w:t>响应文件</w:t>
            </w:r>
            <w:r>
              <w:rPr>
                <w:color w:val="000000"/>
                <w:kern w:val="0"/>
                <w:sz w:val="24"/>
              </w:rPr>
              <w:t>中承诺的</w:t>
            </w:r>
            <w:r>
              <w:rPr>
                <w:rFonts w:hint="eastAsia"/>
                <w:color w:val="000000"/>
                <w:kern w:val="0"/>
                <w:sz w:val="24"/>
              </w:rPr>
              <w:t>比选有效期满足比选文件</w:t>
            </w:r>
            <w:r>
              <w:rPr>
                <w:color w:val="000000"/>
                <w:kern w:val="0"/>
                <w:sz w:val="24"/>
              </w:rPr>
              <w:t>中载明的</w:t>
            </w:r>
            <w:r>
              <w:rPr>
                <w:rFonts w:hint="eastAsia"/>
                <w:color w:val="000000"/>
                <w:kern w:val="0"/>
                <w:sz w:val="24"/>
              </w:rPr>
              <w:t>比选有效期</w:t>
            </w:r>
            <w:r>
              <w:rPr>
                <w:color w:val="000000"/>
                <w:kern w:val="0"/>
                <w:sz w:val="24"/>
              </w:rPr>
              <w:t>的；</w:t>
            </w:r>
          </w:p>
        </w:tc>
      </w:tr>
      <w:tr w14:paraId="3122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DC0E79D">
            <w:pPr>
              <w:widowControl/>
              <w:jc w:val="center"/>
              <w:rPr>
                <w:color w:val="000000"/>
                <w:kern w:val="0"/>
                <w:sz w:val="24"/>
              </w:rPr>
            </w:pPr>
            <w:r>
              <w:rPr>
                <w:color w:val="000000"/>
                <w:kern w:val="0"/>
                <w:sz w:val="24"/>
              </w:rPr>
              <w:t>6</w:t>
            </w:r>
          </w:p>
        </w:tc>
        <w:tc>
          <w:tcPr>
            <w:tcW w:w="976" w:type="pct"/>
            <w:vAlign w:val="center"/>
          </w:tcPr>
          <w:p w14:paraId="3A4B4319">
            <w:pPr>
              <w:widowControl/>
              <w:jc w:val="left"/>
              <w:rPr>
                <w:color w:val="000000"/>
                <w:kern w:val="0"/>
                <w:sz w:val="24"/>
              </w:rPr>
            </w:pPr>
            <w:r>
              <w:rPr>
                <w:color w:val="000000"/>
                <w:kern w:val="0"/>
                <w:sz w:val="24"/>
              </w:rPr>
              <w:t>签署、盖章</w:t>
            </w:r>
          </w:p>
        </w:tc>
        <w:tc>
          <w:tcPr>
            <w:tcW w:w="3620" w:type="pct"/>
            <w:vAlign w:val="center"/>
          </w:tcPr>
          <w:p w14:paraId="0EBE7818">
            <w:pPr>
              <w:widowControl/>
              <w:jc w:val="left"/>
              <w:rPr>
                <w:color w:val="000000"/>
                <w:kern w:val="0"/>
                <w:sz w:val="24"/>
              </w:rPr>
            </w:pPr>
            <w:r>
              <w:rPr>
                <w:color w:val="000000"/>
                <w:kern w:val="0"/>
                <w:sz w:val="24"/>
              </w:rPr>
              <w:t>按照</w:t>
            </w:r>
            <w:r>
              <w:rPr>
                <w:rFonts w:hint="eastAsia"/>
                <w:color w:val="000000"/>
                <w:kern w:val="0"/>
                <w:sz w:val="24"/>
              </w:rPr>
              <w:t>比选文件</w:t>
            </w:r>
            <w:r>
              <w:rPr>
                <w:color w:val="000000"/>
                <w:kern w:val="0"/>
                <w:sz w:val="24"/>
              </w:rPr>
              <w:t>要求签署、盖章；</w:t>
            </w:r>
          </w:p>
        </w:tc>
      </w:tr>
      <w:tr w14:paraId="5630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A0F051A">
            <w:pPr>
              <w:widowControl/>
              <w:jc w:val="center"/>
              <w:rPr>
                <w:color w:val="000000"/>
                <w:kern w:val="0"/>
                <w:sz w:val="24"/>
              </w:rPr>
            </w:pPr>
            <w:r>
              <w:rPr>
                <w:rFonts w:hint="eastAsia"/>
                <w:color w:val="000000"/>
                <w:kern w:val="0"/>
                <w:sz w:val="24"/>
              </w:rPr>
              <w:t>7</w:t>
            </w:r>
          </w:p>
        </w:tc>
        <w:tc>
          <w:tcPr>
            <w:tcW w:w="976" w:type="pct"/>
            <w:vAlign w:val="center"/>
          </w:tcPr>
          <w:p w14:paraId="6A1F99C9">
            <w:pPr>
              <w:widowControl/>
              <w:jc w:val="left"/>
              <w:rPr>
                <w:color w:val="000000"/>
                <w:kern w:val="0"/>
                <w:sz w:val="24"/>
              </w:rPr>
            </w:pPr>
            <w:r>
              <w:rPr>
                <w:rFonts w:hint="eastAsia"/>
                <w:color w:val="000000"/>
                <w:kern w:val="0"/>
                <w:sz w:val="24"/>
              </w:rPr>
              <w:t>实质性格式</w:t>
            </w:r>
          </w:p>
        </w:tc>
        <w:tc>
          <w:tcPr>
            <w:tcW w:w="3620" w:type="pct"/>
            <w:vAlign w:val="center"/>
          </w:tcPr>
          <w:p w14:paraId="114D8A76">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文件均按比选文件要求提供；</w:t>
            </w:r>
          </w:p>
        </w:tc>
      </w:tr>
      <w:tr w14:paraId="26AB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CA4DA5B">
            <w:pPr>
              <w:widowControl/>
              <w:jc w:val="center"/>
              <w:rPr>
                <w:color w:val="000000"/>
                <w:kern w:val="0"/>
                <w:sz w:val="24"/>
              </w:rPr>
            </w:pPr>
            <w:r>
              <w:rPr>
                <w:color w:val="000000"/>
                <w:kern w:val="0"/>
                <w:sz w:val="24"/>
              </w:rPr>
              <w:t>8</w:t>
            </w:r>
          </w:p>
        </w:tc>
        <w:tc>
          <w:tcPr>
            <w:tcW w:w="976" w:type="pct"/>
            <w:vAlign w:val="center"/>
          </w:tcPr>
          <w:p w14:paraId="335DD905">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5A323105">
            <w:pPr>
              <w:widowControl/>
              <w:jc w:val="left"/>
              <w:rPr>
                <w:color w:val="000000"/>
                <w:kern w:val="0"/>
                <w:sz w:val="24"/>
              </w:rPr>
            </w:pPr>
            <w:r>
              <w:rPr>
                <w:rFonts w:hint="eastAsia"/>
                <w:color w:val="000000"/>
                <w:kern w:val="0"/>
                <w:sz w:val="24"/>
              </w:rPr>
              <w:t>响应文件</w:t>
            </w:r>
            <w:r>
              <w:rPr>
                <w:color w:val="000000"/>
                <w:kern w:val="0"/>
                <w:sz w:val="24"/>
              </w:rPr>
              <w:t>满足</w:t>
            </w:r>
            <w:r>
              <w:rPr>
                <w:rFonts w:hint="eastAsia"/>
                <w:color w:val="000000"/>
                <w:kern w:val="0"/>
                <w:sz w:val="24"/>
              </w:rPr>
              <w:t>比选文件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7B2B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347C1C4">
            <w:pPr>
              <w:widowControl/>
              <w:jc w:val="center"/>
              <w:rPr>
                <w:color w:val="000000"/>
                <w:kern w:val="0"/>
                <w:sz w:val="24"/>
              </w:rPr>
            </w:pPr>
            <w:r>
              <w:rPr>
                <w:color w:val="000000"/>
                <w:kern w:val="0"/>
                <w:sz w:val="24"/>
              </w:rPr>
              <w:t>9</w:t>
            </w:r>
          </w:p>
        </w:tc>
        <w:tc>
          <w:tcPr>
            <w:tcW w:w="976" w:type="pct"/>
            <w:vAlign w:val="center"/>
          </w:tcPr>
          <w:p w14:paraId="3D40E196">
            <w:pPr>
              <w:widowControl/>
              <w:jc w:val="left"/>
              <w:rPr>
                <w:color w:val="000000"/>
                <w:kern w:val="0"/>
                <w:sz w:val="24"/>
              </w:rPr>
            </w:pPr>
            <w:r>
              <w:rPr>
                <w:color w:val="000000"/>
                <w:kern w:val="0"/>
                <w:sz w:val="24"/>
              </w:rPr>
              <w:t>报价的修正</w:t>
            </w:r>
          </w:p>
        </w:tc>
        <w:tc>
          <w:tcPr>
            <w:tcW w:w="3620" w:type="pct"/>
            <w:vAlign w:val="center"/>
          </w:tcPr>
          <w:p w14:paraId="1D161432">
            <w:pPr>
              <w:widowControl/>
              <w:jc w:val="left"/>
              <w:rPr>
                <w:color w:val="000000"/>
                <w:kern w:val="0"/>
                <w:sz w:val="24"/>
              </w:rPr>
            </w:pPr>
            <w:r>
              <w:rPr>
                <w:rFonts w:hint="eastAsia"/>
                <w:color w:val="000000"/>
                <w:kern w:val="0"/>
                <w:sz w:val="24"/>
              </w:rPr>
              <w:t>不涉及报价修正</w:t>
            </w:r>
            <w:r>
              <w:rPr>
                <w:color w:val="000000"/>
                <w:kern w:val="0"/>
                <w:sz w:val="24"/>
              </w:rPr>
              <w:t>，或</w:t>
            </w:r>
            <w:r>
              <w:rPr>
                <w:rFonts w:hint="eastAsia"/>
                <w:color w:val="000000"/>
                <w:kern w:val="0"/>
                <w:sz w:val="24"/>
              </w:rPr>
              <w:t>响应文件</w:t>
            </w:r>
            <w:r>
              <w:rPr>
                <w:color w:val="000000"/>
                <w:kern w:val="0"/>
                <w:sz w:val="24"/>
              </w:rPr>
              <w:t>报价出现前后不一致</w:t>
            </w:r>
            <w:r>
              <w:rPr>
                <w:rFonts w:hint="eastAsia"/>
                <w:color w:val="000000"/>
                <w:kern w:val="0"/>
                <w:sz w:val="24"/>
              </w:rPr>
              <w:t>时</w:t>
            </w:r>
            <w:r>
              <w:rPr>
                <w:color w:val="000000"/>
                <w:kern w:val="0"/>
                <w:sz w:val="24"/>
              </w:rPr>
              <w:t>，</w:t>
            </w:r>
            <w:r>
              <w:rPr>
                <w:rFonts w:hint="eastAsia"/>
                <w:color w:val="000000"/>
                <w:kern w:val="0"/>
                <w:sz w:val="24"/>
              </w:rPr>
              <w:t>参选人</w:t>
            </w:r>
            <w:r>
              <w:rPr>
                <w:color w:val="000000"/>
                <w:kern w:val="0"/>
                <w:sz w:val="24"/>
              </w:rPr>
              <w:t>对修正后的报价予</w:t>
            </w:r>
            <w:r>
              <w:rPr>
                <w:rFonts w:hint="eastAsia"/>
                <w:color w:val="000000"/>
                <w:kern w:val="0"/>
                <w:sz w:val="24"/>
              </w:rPr>
              <w:t>以</w:t>
            </w:r>
            <w:r>
              <w:rPr>
                <w:color w:val="000000"/>
                <w:kern w:val="0"/>
                <w:sz w:val="24"/>
              </w:rPr>
              <w:t xml:space="preserve">确认； </w:t>
            </w:r>
          </w:p>
        </w:tc>
      </w:tr>
      <w:tr w14:paraId="672A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E9C585">
            <w:pPr>
              <w:widowControl/>
              <w:jc w:val="center"/>
              <w:rPr>
                <w:color w:val="000000"/>
                <w:kern w:val="0"/>
                <w:sz w:val="24"/>
              </w:rPr>
            </w:pPr>
            <w:r>
              <w:rPr>
                <w:color w:val="000000"/>
                <w:kern w:val="0"/>
                <w:sz w:val="24"/>
              </w:rPr>
              <w:t>10</w:t>
            </w:r>
          </w:p>
        </w:tc>
        <w:tc>
          <w:tcPr>
            <w:tcW w:w="976" w:type="pct"/>
            <w:vAlign w:val="center"/>
          </w:tcPr>
          <w:p w14:paraId="490DA5A2">
            <w:pPr>
              <w:widowControl/>
              <w:jc w:val="left"/>
              <w:rPr>
                <w:color w:val="000000"/>
                <w:kern w:val="0"/>
                <w:sz w:val="24"/>
              </w:rPr>
            </w:pPr>
            <w:r>
              <w:rPr>
                <w:color w:val="000000"/>
                <w:kern w:val="0"/>
                <w:sz w:val="24"/>
              </w:rPr>
              <w:t>报价合理性</w:t>
            </w:r>
          </w:p>
        </w:tc>
        <w:tc>
          <w:tcPr>
            <w:tcW w:w="3620" w:type="pct"/>
            <w:vAlign w:val="center"/>
          </w:tcPr>
          <w:p w14:paraId="28626970">
            <w:pPr>
              <w:widowControl/>
              <w:jc w:val="left"/>
              <w:rPr>
                <w:color w:val="000000"/>
                <w:kern w:val="0"/>
                <w:sz w:val="24"/>
              </w:rPr>
            </w:pPr>
            <w:r>
              <w:rPr>
                <w:color w:val="000000"/>
                <w:kern w:val="0"/>
                <w:sz w:val="24"/>
              </w:rPr>
              <w:t>报价合理，或</w:t>
            </w:r>
            <w:r>
              <w:rPr>
                <w:rFonts w:hint="eastAsia"/>
                <w:sz w:val="24"/>
              </w:rPr>
              <w:t>参选人的报价明显低于其他通过符合性审查参选人的报价，</w:t>
            </w:r>
            <w:r>
              <w:rPr>
                <w:sz w:val="24"/>
              </w:rPr>
              <w:t>有可能影响产品质量或者不能诚信履约的</w:t>
            </w:r>
            <w:r>
              <w:rPr>
                <w:rFonts w:hint="eastAsia"/>
                <w:sz w:val="24"/>
              </w:rPr>
              <w:t>，能够应评标委员会要求在规定时间内证明其报价合理性</w:t>
            </w:r>
            <w:r>
              <w:rPr>
                <w:color w:val="000000"/>
                <w:kern w:val="0"/>
                <w:sz w:val="24"/>
              </w:rPr>
              <w:t>；</w:t>
            </w:r>
          </w:p>
        </w:tc>
      </w:tr>
      <w:tr w14:paraId="4AE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1141B8">
            <w:pPr>
              <w:widowControl/>
              <w:jc w:val="center"/>
              <w:rPr>
                <w:color w:val="000000"/>
                <w:kern w:val="0"/>
                <w:sz w:val="24"/>
              </w:rPr>
            </w:pPr>
            <w:r>
              <w:rPr>
                <w:color w:val="000000"/>
                <w:kern w:val="0"/>
                <w:sz w:val="24"/>
              </w:rPr>
              <w:t>11</w:t>
            </w:r>
          </w:p>
        </w:tc>
        <w:tc>
          <w:tcPr>
            <w:tcW w:w="976" w:type="pct"/>
            <w:vAlign w:val="center"/>
          </w:tcPr>
          <w:p w14:paraId="6B9C5FB4">
            <w:pPr>
              <w:widowControl/>
              <w:jc w:val="left"/>
              <w:rPr>
                <w:color w:val="000000"/>
                <w:kern w:val="0"/>
                <w:sz w:val="24"/>
              </w:rPr>
            </w:pPr>
            <w:r>
              <w:rPr>
                <w:color w:val="000000"/>
                <w:kern w:val="0"/>
                <w:sz w:val="24"/>
              </w:rPr>
              <w:t>公平竞争</w:t>
            </w:r>
          </w:p>
        </w:tc>
        <w:tc>
          <w:tcPr>
            <w:tcW w:w="3620" w:type="pct"/>
            <w:vAlign w:val="center"/>
          </w:tcPr>
          <w:p w14:paraId="6F0071E8">
            <w:pPr>
              <w:widowControl/>
              <w:jc w:val="left"/>
              <w:rPr>
                <w:color w:val="000000"/>
                <w:kern w:val="0"/>
                <w:sz w:val="24"/>
              </w:rPr>
            </w:pPr>
            <w:r>
              <w:rPr>
                <w:rFonts w:hint="eastAsia"/>
                <w:color w:val="000000"/>
                <w:sz w:val="24"/>
              </w:rPr>
              <w:t>参选人</w:t>
            </w:r>
            <w:r>
              <w:rPr>
                <w:color w:val="000000"/>
                <w:sz w:val="24"/>
              </w:rPr>
              <w:t>遵循公平竞争的原则，不存在恶意串通，妨碍其他</w:t>
            </w:r>
            <w:r>
              <w:rPr>
                <w:rFonts w:hint="eastAsia"/>
                <w:color w:val="000000"/>
                <w:sz w:val="24"/>
              </w:rPr>
              <w:t>参选人</w:t>
            </w:r>
            <w:r>
              <w:rPr>
                <w:color w:val="000000"/>
                <w:sz w:val="24"/>
              </w:rPr>
              <w:t>的竞争行为，不存在损害采购人或者其他</w:t>
            </w:r>
            <w:r>
              <w:rPr>
                <w:rFonts w:hint="eastAsia"/>
                <w:color w:val="000000"/>
                <w:sz w:val="24"/>
              </w:rPr>
              <w:t>参选人</w:t>
            </w:r>
            <w:r>
              <w:rPr>
                <w:color w:val="000000"/>
                <w:sz w:val="24"/>
              </w:rPr>
              <w:t>的合法权益情形的；</w:t>
            </w:r>
          </w:p>
        </w:tc>
      </w:tr>
      <w:tr w14:paraId="6898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FCEDC91">
            <w:pPr>
              <w:widowControl/>
              <w:jc w:val="center"/>
              <w:rPr>
                <w:color w:val="000000"/>
                <w:kern w:val="0"/>
                <w:sz w:val="24"/>
              </w:rPr>
            </w:pPr>
            <w:r>
              <w:rPr>
                <w:color w:val="000000"/>
                <w:kern w:val="0"/>
                <w:sz w:val="24"/>
              </w:rPr>
              <w:t>12</w:t>
            </w:r>
          </w:p>
        </w:tc>
        <w:tc>
          <w:tcPr>
            <w:tcW w:w="976" w:type="pct"/>
            <w:vAlign w:val="center"/>
          </w:tcPr>
          <w:p w14:paraId="127FD095">
            <w:pPr>
              <w:widowControl/>
              <w:jc w:val="left"/>
              <w:rPr>
                <w:color w:val="000000"/>
                <w:kern w:val="0"/>
                <w:sz w:val="24"/>
              </w:rPr>
            </w:pPr>
            <w:r>
              <w:rPr>
                <w:color w:val="000000"/>
                <w:kern w:val="0"/>
                <w:sz w:val="24"/>
              </w:rPr>
              <w:t>串通投标</w:t>
            </w:r>
          </w:p>
        </w:tc>
        <w:tc>
          <w:tcPr>
            <w:tcW w:w="3620" w:type="pct"/>
            <w:vAlign w:val="center"/>
          </w:tcPr>
          <w:p w14:paraId="20476E28">
            <w:pPr>
              <w:widowControl/>
              <w:jc w:val="left"/>
              <w:rPr>
                <w:color w:val="000000"/>
                <w:kern w:val="0"/>
                <w:sz w:val="24"/>
              </w:rPr>
            </w:pPr>
            <w:r>
              <w:rPr>
                <w:rFonts w:hint="eastAsia"/>
                <w:color w:val="000000"/>
                <w:sz w:val="24"/>
              </w:rPr>
              <w:t>不存在《政府采购货物和服务比选投标管理办法》视为参选人串通投标的情形：（一）不同参选人的响应文件由同一单位或者个人编制；（二）不同参选人委托同一单位或者个人办理投标事宜；（三）不同参选人的响应文件载明的项目管理成员或者联系人员为同一人；（四）不同参选人的响应文件异常一致或者比选报价呈规律性差异；（五）不同参选人的响应文件相互混装；（六）不同参选人的比选保证金从同一单位或者个人的账户转出；</w:t>
            </w:r>
          </w:p>
        </w:tc>
      </w:tr>
      <w:tr w14:paraId="20EB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730AB0D">
            <w:pPr>
              <w:widowControl/>
              <w:jc w:val="center"/>
              <w:rPr>
                <w:color w:val="000000"/>
                <w:kern w:val="0"/>
                <w:sz w:val="24"/>
              </w:rPr>
            </w:pPr>
            <w:r>
              <w:rPr>
                <w:color w:val="000000"/>
                <w:kern w:val="0"/>
                <w:sz w:val="24"/>
              </w:rPr>
              <w:t>13</w:t>
            </w:r>
          </w:p>
        </w:tc>
        <w:tc>
          <w:tcPr>
            <w:tcW w:w="976" w:type="pct"/>
            <w:vAlign w:val="center"/>
          </w:tcPr>
          <w:p w14:paraId="245E86D8">
            <w:pPr>
              <w:widowControl/>
              <w:jc w:val="left"/>
              <w:rPr>
                <w:color w:val="000000"/>
                <w:kern w:val="0"/>
                <w:sz w:val="24"/>
              </w:rPr>
            </w:pPr>
            <w:r>
              <w:rPr>
                <w:color w:val="000000"/>
                <w:kern w:val="0"/>
                <w:sz w:val="24"/>
              </w:rPr>
              <w:t>附加条件</w:t>
            </w:r>
          </w:p>
        </w:tc>
        <w:tc>
          <w:tcPr>
            <w:tcW w:w="3620" w:type="pct"/>
            <w:vAlign w:val="center"/>
          </w:tcPr>
          <w:p w14:paraId="0E2D5943">
            <w:pPr>
              <w:widowControl/>
              <w:jc w:val="left"/>
              <w:rPr>
                <w:color w:val="000000"/>
                <w:kern w:val="0"/>
                <w:sz w:val="24"/>
              </w:rPr>
            </w:pPr>
            <w:r>
              <w:rPr>
                <w:rFonts w:hint="eastAsia"/>
                <w:color w:val="000000"/>
                <w:kern w:val="0"/>
                <w:sz w:val="24"/>
              </w:rPr>
              <w:t>响应文件未</w:t>
            </w:r>
            <w:r>
              <w:rPr>
                <w:color w:val="000000"/>
                <w:kern w:val="0"/>
                <w:sz w:val="24"/>
              </w:rPr>
              <w:t>含有采购人不能接受的附加条件的；</w:t>
            </w:r>
          </w:p>
        </w:tc>
      </w:tr>
      <w:tr w14:paraId="75B7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2E4D24">
            <w:pPr>
              <w:widowControl/>
              <w:jc w:val="center"/>
              <w:rPr>
                <w:color w:val="000000"/>
                <w:kern w:val="0"/>
                <w:sz w:val="24"/>
              </w:rPr>
            </w:pPr>
            <w:r>
              <w:rPr>
                <w:color w:val="000000"/>
                <w:kern w:val="0"/>
                <w:sz w:val="24"/>
              </w:rPr>
              <w:t>14</w:t>
            </w:r>
          </w:p>
        </w:tc>
        <w:tc>
          <w:tcPr>
            <w:tcW w:w="976" w:type="pct"/>
            <w:vAlign w:val="center"/>
          </w:tcPr>
          <w:p w14:paraId="57C7AE28">
            <w:pPr>
              <w:widowControl/>
              <w:jc w:val="left"/>
              <w:rPr>
                <w:color w:val="000000"/>
                <w:kern w:val="0"/>
                <w:sz w:val="24"/>
              </w:rPr>
            </w:pPr>
            <w:r>
              <w:rPr>
                <w:color w:val="000000"/>
                <w:kern w:val="0"/>
                <w:sz w:val="24"/>
              </w:rPr>
              <w:t>其他无效情形</w:t>
            </w:r>
          </w:p>
        </w:tc>
        <w:tc>
          <w:tcPr>
            <w:tcW w:w="3620" w:type="pct"/>
            <w:vAlign w:val="center"/>
          </w:tcPr>
          <w:p w14:paraId="3D9B726E">
            <w:pPr>
              <w:widowControl/>
              <w:jc w:val="left"/>
              <w:rPr>
                <w:color w:val="000000"/>
                <w:kern w:val="0"/>
                <w:sz w:val="24"/>
              </w:rPr>
            </w:pPr>
            <w:r>
              <w:rPr>
                <w:rFonts w:hint="eastAsia"/>
                <w:color w:val="000000"/>
                <w:sz w:val="24"/>
              </w:rPr>
              <w:t>参选人</w:t>
            </w:r>
            <w:r>
              <w:rPr>
                <w:color w:val="000000"/>
                <w:sz w:val="24"/>
              </w:rPr>
              <w:t>、</w:t>
            </w:r>
            <w:r>
              <w:rPr>
                <w:rFonts w:hint="eastAsia"/>
                <w:color w:val="000000"/>
                <w:sz w:val="24"/>
              </w:rPr>
              <w:t>响应文件不存在</w:t>
            </w:r>
            <w:r>
              <w:rPr>
                <w:color w:val="000000"/>
                <w:sz w:val="24"/>
              </w:rPr>
              <w:t>不符合法律、法规和</w:t>
            </w:r>
            <w:r>
              <w:rPr>
                <w:rFonts w:hint="eastAsia"/>
                <w:color w:val="000000"/>
                <w:sz w:val="24"/>
              </w:rPr>
              <w:t>比选文件</w:t>
            </w:r>
            <w:r>
              <w:rPr>
                <w:color w:val="000000"/>
                <w:sz w:val="24"/>
              </w:rPr>
              <w:t>规定的其他无效情形。</w:t>
            </w:r>
          </w:p>
        </w:tc>
      </w:tr>
    </w:tbl>
    <w:p w14:paraId="791DC3FD">
      <w:pPr>
        <w:numPr>
          <w:ilvl w:val="0"/>
          <w:numId w:val="20"/>
        </w:numPr>
        <w:tabs>
          <w:tab w:val="left" w:pos="1080"/>
          <w:tab w:val="left" w:pos="1589"/>
        </w:tabs>
        <w:snapToGrid w:val="0"/>
        <w:spacing w:line="360" w:lineRule="auto"/>
        <w:rPr>
          <w:sz w:val="24"/>
        </w:rPr>
        <w:sectPr>
          <w:headerReference r:id="rId10" w:type="first"/>
          <w:footerReference r:id="rId12" w:type="first"/>
          <w:headerReference r:id="rId9" w:type="even"/>
          <w:footerReference r:id="rId11" w:type="even"/>
          <w:type w:val="nextColumn"/>
          <w:pgSz w:w="11907" w:h="16840"/>
          <w:pgMar w:top="1134" w:right="1418" w:bottom="1134" w:left="1418" w:header="510" w:footer="851" w:gutter="0"/>
          <w:cols w:space="720" w:num="1"/>
          <w:docGrid w:linePitch="462" w:charSpace="0"/>
        </w:sectPr>
      </w:pPr>
    </w:p>
    <w:p w14:paraId="2E451901">
      <w:pPr>
        <w:numPr>
          <w:ilvl w:val="0"/>
          <w:numId w:val="19"/>
        </w:numPr>
        <w:tabs>
          <w:tab w:val="left" w:pos="360"/>
        </w:tabs>
        <w:snapToGrid w:val="0"/>
        <w:spacing w:line="360" w:lineRule="auto"/>
        <w:outlineLvl w:val="1"/>
        <w:rPr>
          <w:sz w:val="24"/>
        </w:rPr>
      </w:pPr>
      <w:r>
        <w:rPr>
          <w:rFonts w:hint="eastAsia"/>
          <w:sz w:val="24"/>
        </w:rPr>
        <w:t>响应文件</w:t>
      </w:r>
      <w:r>
        <w:rPr>
          <w:sz w:val="24"/>
        </w:rPr>
        <w:t>有关事项的澄清或者说明</w:t>
      </w:r>
    </w:p>
    <w:p w14:paraId="04F40994">
      <w:pPr>
        <w:numPr>
          <w:ilvl w:val="1"/>
          <w:numId w:val="19"/>
        </w:numPr>
        <w:tabs>
          <w:tab w:val="left" w:pos="1080"/>
        </w:tabs>
        <w:snapToGrid w:val="0"/>
        <w:spacing w:line="360" w:lineRule="auto"/>
        <w:ind w:left="1077" w:hanging="720"/>
        <w:rPr>
          <w:sz w:val="24"/>
        </w:rPr>
      </w:pPr>
      <w:r>
        <w:rPr>
          <w:sz w:val="24"/>
        </w:rPr>
        <w:t>评标过程中，评标委员会将以书面形式要求</w:t>
      </w:r>
      <w:r>
        <w:rPr>
          <w:rFonts w:hint="eastAsia"/>
          <w:sz w:val="24"/>
        </w:rPr>
        <w:t>参选人</w:t>
      </w:r>
      <w:r>
        <w:rPr>
          <w:sz w:val="24"/>
        </w:rPr>
        <w:t>对其</w:t>
      </w:r>
      <w:r>
        <w:rPr>
          <w:rFonts w:hint="eastAsia"/>
          <w:sz w:val="24"/>
        </w:rPr>
        <w:t>响应文件</w:t>
      </w:r>
      <w:r>
        <w:rPr>
          <w:sz w:val="24"/>
        </w:rPr>
        <w:t>中含义不明确、同类问题表述不一致或者有明显文字和计算错误的内容，作出必要的澄清、说明或者补正。</w:t>
      </w:r>
      <w:r>
        <w:rPr>
          <w:rFonts w:hint="eastAsia"/>
          <w:sz w:val="24"/>
        </w:rPr>
        <w:t>参选人</w:t>
      </w:r>
      <w:r>
        <w:rPr>
          <w:sz w:val="24"/>
        </w:rPr>
        <w:t>的澄清、说明或者补正应当采用书面形式，并加盖公章，或者由法定代表人或其授权的代表签字。</w:t>
      </w:r>
      <w:r>
        <w:rPr>
          <w:rFonts w:hint="eastAsia"/>
          <w:sz w:val="24"/>
        </w:rPr>
        <w:t>参选人</w:t>
      </w:r>
      <w:r>
        <w:rPr>
          <w:sz w:val="24"/>
        </w:rPr>
        <w:t>的澄清、说明或者补正不得超出</w:t>
      </w:r>
      <w:r>
        <w:rPr>
          <w:rFonts w:hint="eastAsia"/>
          <w:sz w:val="24"/>
        </w:rPr>
        <w:t>响应文件</w:t>
      </w:r>
      <w:r>
        <w:rPr>
          <w:sz w:val="24"/>
        </w:rPr>
        <w:t>的范围或者改变</w:t>
      </w:r>
      <w:r>
        <w:rPr>
          <w:rFonts w:hint="eastAsia"/>
          <w:sz w:val="24"/>
        </w:rPr>
        <w:t>响应文件</w:t>
      </w:r>
      <w:r>
        <w:rPr>
          <w:sz w:val="24"/>
        </w:rPr>
        <w:t>的实质性内容。澄清文件将作为</w:t>
      </w:r>
      <w:r>
        <w:rPr>
          <w:rFonts w:hint="eastAsia"/>
          <w:sz w:val="24"/>
        </w:rPr>
        <w:t>响应文件</w:t>
      </w:r>
      <w:r>
        <w:rPr>
          <w:sz w:val="24"/>
        </w:rPr>
        <w:t>内容的一部分。</w:t>
      </w:r>
    </w:p>
    <w:p w14:paraId="78019208">
      <w:pPr>
        <w:numPr>
          <w:ilvl w:val="1"/>
          <w:numId w:val="19"/>
        </w:numPr>
        <w:tabs>
          <w:tab w:val="left" w:pos="1080"/>
        </w:tabs>
        <w:snapToGrid w:val="0"/>
        <w:spacing w:line="360" w:lineRule="auto"/>
        <w:ind w:left="1077" w:hanging="720"/>
        <w:rPr>
          <w:sz w:val="24"/>
        </w:rPr>
      </w:pPr>
      <w:r>
        <w:rPr>
          <w:sz w:val="24"/>
        </w:rPr>
        <w:t>评标委员会认为</w:t>
      </w:r>
      <w:r>
        <w:rPr>
          <w:rFonts w:hint="eastAsia"/>
          <w:sz w:val="24"/>
        </w:rPr>
        <w:t>参选人</w:t>
      </w:r>
      <w:r>
        <w:rPr>
          <w:sz w:val="24"/>
        </w:rPr>
        <w:t>的报价明显低于其他通过符合性审查</w:t>
      </w:r>
      <w:r>
        <w:rPr>
          <w:rFonts w:hint="eastAsia"/>
          <w:sz w:val="24"/>
        </w:rPr>
        <w:t>参选人</w:t>
      </w:r>
      <w:r>
        <w:rPr>
          <w:sz w:val="24"/>
        </w:rPr>
        <w:t>的报价，有可能影响产品质量或者不能诚信履约的，有权要求该</w:t>
      </w:r>
      <w:r>
        <w:rPr>
          <w:rFonts w:hint="eastAsia"/>
          <w:sz w:val="24"/>
        </w:rPr>
        <w:t>参选人</w:t>
      </w:r>
      <w:r>
        <w:rPr>
          <w:sz w:val="24"/>
        </w:rPr>
        <w:t>在评标现场合理的时间内提供书面说明，必要时提交相关证明材料；若</w:t>
      </w:r>
      <w:r>
        <w:rPr>
          <w:rFonts w:hint="eastAsia"/>
          <w:sz w:val="24"/>
        </w:rPr>
        <w:t>参选人</w:t>
      </w:r>
      <w:r>
        <w:rPr>
          <w:sz w:val="24"/>
        </w:rPr>
        <w:t>不能证明其报价合理性，评标委员会将其作为</w:t>
      </w:r>
      <w:r>
        <w:rPr>
          <w:b/>
          <w:sz w:val="24"/>
        </w:rPr>
        <w:t>无效投标处理</w:t>
      </w:r>
      <w:r>
        <w:rPr>
          <w:sz w:val="24"/>
        </w:rPr>
        <w:t>。</w:t>
      </w:r>
    </w:p>
    <w:p w14:paraId="5145BDF2">
      <w:pPr>
        <w:numPr>
          <w:ilvl w:val="1"/>
          <w:numId w:val="19"/>
        </w:numPr>
        <w:tabs>
          <w:tab w:val="left" w:pos="1080"/>
        </w:tabs>
        <w:snapToGrid w:val="0"/>
        <w:spacing w:line="360" w:lineRule="auto"/>
        <w:ind w:left="1077" w:hanging="720"/>
        <w:rPr>
          <w:sz w:val="24"/>
        </w:rPr>
      </w:pPr>
      <w:r>
        <w:rPr>
          <w:rFonts w:hint="eastAsia"/>
          <w:sz w:val="24"/>
        </w:rPr>
        <w:t>比选报价</w:t>
      </w:r>
      <w:r>
        <w:rPr>
          <w:sz w:val="24"/>
        </w:rPr>
        <w:t>须包含</w:t>
      </w:r>
      <w:r>
        <w:rPr>
          <w:rFonts w:hint="eastAsia"/>
          <w:sz w:val="24"/>
        </w:rPr>
        <w:t>比选文件</w:t>
      </w:r>
      <w:r>
        <w:rPr>
          <w:sz w:val="24"/>
        </w:rPr>
        <w:t>全部内容，如分项报价表有缺漏视为已含在其他各项报价中，将不对投标总价进行调整。评标委员会有权要求</w:t>
      </w:r>
      <w:r>
        <w:rPr>
          <w:rFonts w:hint="eastAsia"/>
          <w:sz w:val="24"/>
        </w:rPr>
        <w:t>参选人</w:t>
      </w:r>
      <w:r>
        <w:rPr>
          <w:sz w:val="24"/>
        </w:rPr>
        <w:t>在评标现场合理的时间内对此进行书面确认，</w:t>
      </w:r>
      <w:r>
        <w:rPr>
          <w:rFonts w:hint="eastAsia"/>
          <w:sz w:val="24"/>
        </w:rPr>
        <w:t>参选人</w:t>
      </w:r>
      <w:r>
        <w:rPr>
          <w:sz w:val="24"/>
        </w:rPr>
        <w:t>不确认的，视为将一个采购包中的内容拆开投标，其</w:t>
      </w:r>
      <w:r>
        <w:rPr>
          <w:b/>
          <w:sz w:val="24"/>
        </w:rPr>
        <w:t>投标无效</w:t>
      </w:r>
      <w:r>
        <w:rPr>
          <w:sz w:val="24"/>
        </w:rPr>
        <w:t>。</w:t>
      </w:r>
    </w:p>
    <w:p w14:paraId="7D2C04AA">
      <w:pPr>
        <w:numPr>
          <w:ilvl w:val="1"/>
          <w:numId w:val="19"/>
        </w:numPr>
        <w:tabs>
          <w:tab w:val="left" w:pos="1080"/>
        </w:tabs>
        <w:snapToGrid w:val="0"/>
        <w:spacing w:line="360" w:lineRule="auto"/>
        <w:ind w:left="1077" w:hanging="720"/>
        <w:rPr>
          <w:sz w:val="24"/>
        </w:rPr>
      </w:pPr>
      <w:r>
        <w:rPr>
          <w:rFonts w:hint="eastAsia"/>
          <w:sz w:val="24"/>
        </w:rPr>
        <w:t>响应文件</w:t>
      </w:r>
      <w:r>
        <w:rPr>
          <w:sz w:val="24"/>
        </w:rPr>
        <w:t>报价出现前后不一致的，按照下列规定修正：</w:t>
      </w:r>
    </w:p>
    <w:p w14:paraId="5ECE1F7B">
      <w:pPr>
        <w:numPr>
          <w:ilvl w:val="2"/>
          <w:numId w:val="19"/>
        </w:numPr>
        <w:tabs>
          <w:tab w:val="left" w:pos="1080"/>
          <w:tab w:val="left" w:pos="1589"/>
          <w:tab w:val="left" w:pos="2035"/>
          <w:tab w:val="left" w:pos="2114"/>
        </w:tabs>
        <w:snapToGrid w:val="0"/>
        <w:spacing w:line="360" w:lineRule="auto"/>
        <w:ind w:left="2035"/>
        <w:rPr>
          <w:sz w:val="24"/>
        </w:rPr>
      </w:pPr>
      <w:r>
        <w:rPr>
          <w:rFonts w:hint="eastAsia"/>
          <w:sz w:val="24"/>
        </w:rPr>
        <w:t>比选文件</w:t>
      </w:r>
      <w:r>
        <w:rPr>
          <w:sz w:val="24"/>
        </w:rPr>
        <w:t>对于报价修正是否另有规定：</w:t>
      </w:r>
    </w:p>
    <w:p w14:paraId="0E6335B9">
      <w:pPr>
        <w:tabs>
          <w:tab w:val="left" w:pos="1080"/>
          <w:tab w:val="left" w:pos="1589"/>
          <w:tab w:val="left" w:pos="2035"/>
          <w:tab w:val="left" w:pos="2114"/>
        </w:tabs>
        <w:snapToGrid w:val="0"/>
        <w:spacing w:line="360" w:lineRule="auto"/>
        <w:ind w:left="2035"/>
        <w:rPr>
          <w:sz w:val="24"/>
          <w:u w:val="single"/>
        </w:rPr>
      </w:pPr>
      <w:r>
        <w:rPr>
          <w:rFonts w:ascii="宋体" w:hAnsi="宋体"/>
          <w:sz w:val="24"/>
        </w:rPr>
        <w:t>□</w:t>
      </w:r>
      <w:r>
        <w:rPr>
          <w:sz w:val="24"/>
        </w:rPr>
        <w:t>有，具体规定为：______________</w:t>
      </w:r>
    </w:p>
    <w:p w14:paraId="66DAFA43">
      <w:pPr>
        <w:tabs>
          <w:tab w:val="left" w:pos="1080"/>
          <w:tab w:val="left" w:pos="1589"/>
          <w:tab w:val="left" w:pos="2035"/>
          <w:tab w:val="left" w:pos="2114"/>
        </w:tabs>
        <w:snapToGrid w:val="0"/>
        <w:spacing w:line="360" w:lineRule="auto"/>
        <w:ind w:left="2035"/>
        <w:rPr>
          <w:sz w:val="24"/>
        </w:rPr>
      </w:pPr>
      <w:r>
        <w:rPr>
          <w:rFonts w:hint="eastAsia" w:ascii="宋体" w:hAnsi="宋体"/>
          <w:sz w:val="24"/>
        </w:rPr>
        <w:t>■</w:t>
      </w:r>
      <w:r>
        <w:rPr>
          <w:sz w:val="24"/>
        </w:rPr>
        <w:t>无，按下述2.4.2-2.4.7项规定修正。</w:t>
      </w:r>
    </w:p>
    <w:p w14:paraId="50FFEA99">
      <w:pPr>
        <w:numPr>
          <w:ilvl w:val="2"/>
          <w:numId w:val="19"/>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w:t>
      </w:r>
      <w:r>
        <w:rPr>
          <w:rFonts w:hint="eastAsia"/>
          <w:color w:val="000000"/>
          <w:sz w:val="24"/>
        </w:rPr>
        <w:t>响应文件</w:t>
      </w:r>
      <w:r>
        <w:rPr>
          <w:color w:val="000000"/>
          <w:sz w:val="24"/>
        </w:rPr>
        <w:t>中开标一览表（报价表）内容不一致的，以单独递交的开标一览表（报价表）为准；</w:t>
      </w:r>
    </w:p>
    <w:p w14:paraId="15B38428">
      <w:pPr>
        <w:numPr>
          <w:ilvl w:val="2"/>
          <w:numId w:val="19"/>
        </w:numPr>
        <w:tabs>
          <w:tab w:val="left" w:pos="2035"/>
          <w:tab w:val="left" w:pos="2114"/>
          <w:tab w:val="left" w:pos="2977"/>
        </w:tabs>
        <w:snapToGrid w:val="0"/>
        <w:spacing w:line="360" w:lineRule="auto"/>
        <w:ind w:left="2035"/>
        <w:rPr>
          <w:color w:val="000000"/>
          <w:sz w:val="24"/>
        </w:rPr>
      </w:pPr>
      <w:r>
        <w:rPr>
          <w:rFonts w:hint="eastAsia"/>
          <w:color w:val="000000"/>
          <w:sz w:val="24"/>
        </w:rPr>
        <w:t>响应文件</w:t>
      </w:r>
      <w:r>
        <w:rPr>
          <w:color w:val="000000"/>
          <w:sz w:val="24"/>
        </w:rPr>
        <w:t>中开标一览表（报价表）内容与</w:t>
      </w:r>
      <w:r>
        <w:rPr>
          <w:rFonts w:hint="eastAsia"/>
          <w:color w:val="000000"/>
          <w:sz w:val="24"/>
        </w:rPr>
        <w:t>响应文件</w:t>
      </w:r>
      <w:r>
        <w:rPr>
          <w:color w:val="000000"/>
          <w:sz w:val="24"/>
        </w:rPr>
        <w:t>中相应内容不一致的，以开标一览表（报价表）为准；</w:t>
      </w:r>
    </w:p>
    <w:p w14:paraId="57267ED0">
      <w:pPr>
        <w:numPr>
          <w:ilvl w:val="2"/>
          <w:numId w:val="1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4A8FDCDE">
      <w:pPr>
        <w:numPr>
          <w:ilvl w:val="2"/>
          <w:numId w:val="1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56353528">
      <w:pPr>
        <w:numPr>
          <w:ilvl w:val="2"/>
          <w:numId w:val="1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6D381CC">
      <w:pPr>
        <w:numPr>
          <w:ilvl w:val="2"/>
          <w:numId w:val="1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w:t>
      </w:r>
      <w:r>
        <w:rPr>
          <w:rFonts w:hint="eastAsia"/>
          <w:sz w:val="24"/>
        </w:rPr>
        <w:t>参选人</w:t>
      </w:r>
      <w:r>
        <w:rPr>
          <w:sz w:val="24"/>
        </w:rPr>
        <w:t>书面确认后产生约束力，</w:t>
      </w:r>
      <w:r>
        <w:rPr>
          <w:rFonts w:hint="eastAsia"/>
          <w:sz w:val="24"/>
        </w:rPr>
        <w:t>参选人</w:t>
      </w:r>
      <w:r>
        <w:rPr>
          <w:sz w:val="24"/>
        </w:rPr>
        <w:t>不确认的，其</w:t>
      </w:r>
      <w:r>
        <w:rPr>
          <w:b/>
          <w:sz w:val="24"/>
        </w:rPr>
        <w:t>投标无效</w:t>
      </w:r>
      <w:r>
        <w:rPr>
          <w:sz w:val="24"/>
        </w:rPr>
        <w:t>。</w:t>
      </w:r>
    </w:p>
    <w:p w14:paraId="557619CF">
      <w:pPr>
        <w:numPr>
          <w:ilvl w:val="1"/>
          <w:numId w:val="19"/>
        </w:numPr>
        <w:tabs>
          <w:tab w:val="left" w:pos="1080"/>
        </w:tabs>
        <w:snapToGrid w:val="0"/>
        <w:spacing w:line="360" w:lineRule="auto"/>
        <w:ind w:left="1077" w:hanging="720"/>
        <w:rPr>
          <w:sz w:val="24"/>
        </w:rPr>
      </w:pPr>
      <w:r>
        <w:rPr>
          <w:sz w:val="24"/>
        </w:rPr>
        <w:t>落实政府采购政策的价格调整：只有符合第二章《</w:t>
      </w:r>
      <w:r>
        <w:rPr>
          <w:rFonts w:hint="eastAsia"/>
          <w:sz w:val="24"/>
        </w:rPr>
        <w:t>参选人</w:t>
      </w:r>
      <w:r>
        <w:rPr>
          <w:sz w:val="24"/>
        </w:rPr>
        <w:t>须知》5.2条规定情形的，可以享受中小企业扶持政策，用扣除后的价格参加评审；否则，评标时价格不予扣除。</w:t>
      </w:r>
    </w:p>
    <w:p w14:paraId="2F90C6C2">
      <w:pPr>
        <w:numPr>
          <w:ilvl w:val="2"/>
          <w:numId w:val="1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sz w:val="24"/>
          <w:u w:val="single"/>
        </w:rPr>
        <w:t xml:space="preserve">10 </w:t>
      </w:r>
      <w:r>
        <w:rPr>
          <w:sz w:val="24"/>
        </w:rPr>
        <w:t>%的扣除，用扣除后的价格参加评审。</w:t>
      </w:r>
    </w:p>
    <w:p w14:paraId="24497EA4">
      <w:pPr>
        <w:numPr>
          <w:ilvl w:val="2"/>
          <w:numId w:val="1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 xml:space="preserve">10 </w:t>
      </w:r>
      <w:r>
        <w:rPr>
          <w:sz w:val="24"/>
        </w:rPr>
        <w:t>%的扣除，用扣除后的价格参加评审。</w:t>
      </w:r>
    </w:p>
    <w:p w14:paraId="57CCF133">
      <w:pPr>
        <w:numPr>
          <w:ilvl w:val="2"/>
          <w:numId w:val="1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597A284">
      <w:pPr>
        <w:numPr>
          <w:ilvl w:val="2"/>
          <w:numId w:val="1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63AD8413">
      <w:pPr>
        <w:numPr>
          <w:ilvl w:val="2"/>
          <w:numId w:val="19"/>
        </w:numPr>
        <w:tabs>
          <w:tab w:val="left" w:pos="1080"/>
          <w:tab w:val="left" w:pos="1589"/>
          <w:tab w:val="left" w:pos="2035"/>
        </w:tabs>
        <w:snapToGrid w:val="0"/>
        <w:spacing w:line="360" w:lineRule="auto"/>
        <w:ind w:left="2035"/>
        <w:rPr>
          <w:sz w:val="24"/>
        </w:rPr>
      </w:pPr>
      <w:r>
        <w:rPr>
          <w:color w:val="000000"/>
          <w:sz w:val="24"/>
        </w:rPr>
        <w:t>中小企业参加政府采购活动，应当按照</w:t>
      </w:r>
      <w:r>
        <w:rPr>
          <w:rFonts w:hint="eastAsia"/>
          <w:color w:val="000000"/>
          <w:sz w:val="24"/>
        </w:rPr>
        <w:t>比选文件</w:t>
      </w:r>
      <w:r>
        <w:rPr>
          <w:color w:val="000000"/>
          <w:sz w:val="24"/>
        </w:rPr>
        <w:t>给定的格式出具《中小企业声明函》，否则不得享受相关中小企业扶持政策。</w:t>
      </w:r>
    </w:p>
    <w:p w14:paraId="78AF67E7">
      <w:pPr>
        <w:numPr>
          <w:ilvl w:val="2"/>
          <w:numId w:val="1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E54BC08">
      <w:pPr>
        <w:numPr>
          <w:ilvl w:val="2"/>
          <w:numId w:val="19"/>
        </w:numPr>
        <w:tabs>
          <w:tab w:val="left" w:pos="1080"/>
          <w:tab w:val="left" w:pos="1589"/>
          <w:tab w:val="left" w:pos="2035"/>
        </w:tabs>
        <w:snapToGrid w:val="0"/>
        <w:spacing w:line="360" w:lineRule="auto"/>
        <w:ind w:left="2035"/>
        <w:rPr>
          <w:sz w:val="24"/>
        </w:rPr>
      </w:pPr>
      <w:r>
        <w:rPr>
          <w:sz w:val="24"/>
        </w:rPr>
        <w:t>残疾人福利性单位按</w:t>
      </w:r>
      <w:r>
        <w:rPr>
          <w:rFonts w:hint="eastAsia"/>
          <w:sz w:val="24"/>
        </w:rPr>
        <w:t>比选文件</w:t>
      </w:r>
      <w:r>
        <w:rPr>
          <w:sz w:val="24"/>
        </w:rPr>
        <w:t>要求提供了《残疾人福利性单位声明函》（见附件）的，视同小微企业。</w:t>
      </w:r>
    </w:p>
    <w:p w14:paraId="63EFF493">
      <w:pPr>
        <w:numPr>
          <w:ilvl w:val="2"/>
          <w:numId w:val="19"/>
        </w:numPr>
        <w:tabs>
          <w:tab w:val="left" w:pos="1080"/>
          <w:tab w:val="left" w:pos="1589"/>
          <w:tab w:val="left" w:pos="2014"/>
          <w:tab w:val="clear" w:pos="1980"/>
        </w:tabs>
        <w:snapToGrid w:val="0"/>
        <w:spacing w:line="360" w:lineRule="auto"/>
        <w:ind w:left="2035"/>
        <w:rPr>
          <w:sz w:val="24"/>
        </w:rPr>
      </w:pPr>
      <w:r>
        <w:rPr>
          <w:sz w:val="24"/>
        </w:rPr>
        <w:t>若</w:t>
      </w:r>
      <w:r>
        <w:rPr>
          <w:rFonts w:hint="eastAsia"/>
          <w:sz w:val="24"/>
        </w:rPr>
        <w:t>参选人</w:t>
      </w:r>
      <w:r>
        <w:rPr>
          <w:sz w:val="24"/>
        </w:rPr>
        <w:t>同时属于小型或微型企业、监狱企业、残疾人福利性单位中的两种及以上，将不重复享受小微企业价格扣减的优惠政策。</w:t>
      </w:r>
    </w:p>
    <w:p w14:paraId="13705AEB">
      <w:pPr>
        <w:numPr>
          <w:ilvl w:val="0"/>
          <w:numId w:val="19"/>
        </w:numPr>
        <w:tabs>
          <w:tab w:val="left" w:pos="360"/>
        </w:tabs>
        <w:snapToGrid w:val="0"/>
        <w:spacing w:line="360" w:lineRule="auto"/>
        <w:outlineLvl w:val="1"/>
        <w:rPr>
          <w:sz w:val="24"/>
        </w:rPr>
      </w:pPr>
      <w:r>
        <w:rPr>
          <w:rFonts w:hint="eastAsia"/>
          <w:sz w:val="24"/>
        </w:rPr>
        <w:t>响应文件</w:t>
      </w:r>
      <w:r>
        <w:rPr>
          <w:sz w:val="24"/>
        </w:rPr>
        <w:t>的比较和评价</w:t>
      </w:r>
      <w:bookmarkEnd w:id="660"/>
      <w:bookmarkEnd w:id="661"/>
    </w:p>
    <w:p w14:paraId="291FC997">
      <w:pPr>
        <w:numPr>
          <w:ilvl w:val="1"/>
          <w:numId w:val="19"/>
        </w:numPr>
        <w:tabs>
          <w:tab w:val="left" w:pos="1080"/>
        </w:tabs>
        <w:snapToGrid w:val="0"/>
        <w:spacing w:line="360" w:lineRule="auto"/>
        <w:ind w:left="1077" w:hanging="720"/>
        <w:rPr>
          <w:sz w:val="24"/>
        </w:rPr>
      </w:pPr>
      <w:r>
        <w:rPr>
          <w:sz w:val="24"/>
        </w:rPr>
        <w:t>评标委员会将按照</w:t>
      </w:r>
      <w:r>
        <w:rPr>
          <w:rFonts w:hint="eastAsia"/>
          <w:sz w:val="24"/>
        </w:rPr>
        <w:t>比选文件</w:t>
      </w:r>
      <w:r>
        <w:rPr>
          <w:sz w:val="24"/>
        </w:rPr>
        <w:t>中规定的评标方法和标准，对符合性审查合格的</w:t>
      </w:r>
      <w:r>
        <w:rPr>
          <w:rFonts w:hint="eastAsia"/>
          <w:sz w:val="24"/>
        </w:rPr>
        <w:t>响应文件</w:t>
      </w:r>
      <w:r>
        <w:rPr>
          <w:sz w:val="24"/>
        </w:rPr>
        <w:t>进行商务和技术评估，综合比较与评价；未通过符合性审查的</w:t>
      </w:r>
      <w:r>
        <w:rPr>
          <w:rFonts w:hint="eastAsia"/>
          <w:sz w:val="24"/>
        </w:rPr>
        <w:t>响应文件</w:t>
      </w:r>
      <w:r>
        <w:rPr>
          <w:sz w:val="24"/>
        </w:rPr>
        <w:t>不得进入比较与评价。</w:t>
      </w:r>
    </w:p>
    <w:p w14:paraId="3B9DDAF6">
      <w:pPr>
        <w:numPr>
          <w:ilvl w:val="1"/>
          <w:numId w:val="19"/>
        </w:numPr>
        <w:tabs>
          <w:tab w:val="left" w:pos="1080"/>
        </w:tabs>
        <w:snapToGrid w:val="0"/>
        <w:spacing w:line="360" w:lineRule="auto"/>
        <w:ind w:left="1077" w:hanging="720"/>
        <w:rPr>
          <w:sz w:val="24"/>
        </w:rPr>
      </w:pPr>
      <w:r>
        <w:rPr>
          <w:sz w:val="24"/>
        </w:rPr>
        <w:t>评标方法和评标标准</w:t>
      </w:r>
    </w:p>
    <w:p w14:paraId="2E43648D">
      <w:pPr>
        <w:numPr>
          <w:ilvl w:val="2"/>
          <w:numId w:val="19"/>
        </w:numPr>
        <w:tabs>
          <w:tab w:val="left" w:pos="1080"/>
          <w:tab w:val="left" w:pos="1589"/>
          <w:tab w:val="left" w:pos="2035"/>
        </w:tabs>
        <w:snapToGrid w:val="0"/>
        <w:spacing w:line="360" w:lineRule="auto"/>
        <w:ind w:left="2035"/>
        <w:rPr>
          <w:sz w:val="24"/>
        </w:rPr>
      </w:pPr>
      <w:r>
        <w:rPr>
          <w:sz w:val="24"/>
        </w:rPr>
        <w:t>本项目采用的评标方法为：</w:t>
      </w:r>
    </w:p>
    <w:p w14:paraId="5B662A17">
      <w:pPr>
        <w:tabs>
          <w:tab w:val="left" w:pos="900"/>
          <w:tab w:val="left" w:pos="1589"/>
          <w:tab w:val="left" w:pos="1701"/>
        </w:tabs>
        <w:snapToGrid w:val="0"/>
        <w:spacing w:line="360" w:lineRule="auto"/>
        <w:ind w:left="1985"/>
        <w:rPr>
          <w:sz w:val="24"/>
        </w:rPr>
      </w:pPr>
      <w:r>
        <w:rPr>
          <w:rFonts w:hint="eastAsia" w:ascii="宋体" w:hAnsi="宋体"/>
          <w:sz w:val="24"/>
        </w:rPr>
        <w:t>■</w:t>
      </w:r>
      <w:r>
        <w:rPr>
          <w:sz w:val="24"/>
        </w:rPr>
        <w:t>综合评分法，指</w:t>
      </w:r>
      <w:r>
        <w:rPr>
          <w:rFonts w:hint="eastAsia"/>
          <w:sz w:val="24"/>
        </w:rPr>
        <w:t>响应文件</w:t>
      </w:r>
      <w:r>
        <w:rPr>
          <w:sz w:val="24"/>
        </w:rPr>
        <w:t>满足</w:t>
      </w:r>
      <w:r>
        <w:rPr>
          <w:rFonts w:hint="eastAsia"/>
          <w:sz w:val="24"/>
        </w:rPr>
        <w:t>比选文件</w:t>
      </w:r>
      <w:r>
        <w:rPr>
          <w:sz w:val="24"/>
        </w:rPr>
        <w:t>全部实质性要求，且按照评审因素的量化指标评审得分最高的</w:t>
      </w:r>
      <w:r>
        <w:rPr>
          <w:rFonts w:hint="eastAsia"/>
          <w:sz w:val="24"/>
        </w:rPr>
        <w:t>参选人</w:t>
      </w:r>
      <w:r>
        <w:rPr>
          <w:sz w:val="24"/>
        </w:rPr>
        <w:t>为</w:t>
      </w:r>
      <w:r>
        <w:rPr>
          <w:rFonts w:hint="eastAsia"/>
          <w:sz w:val="24"/>
        </w:rPr>
        <w:t>中选候选人</w:t>
      </w:r>
      <w:r>
        <w:rPr>
          <w:sz w:val="24"/>
        </w:rPr>
        <w:t>的评标方法，见《评标标准》</w:t>
      </w:r>
      <w:r>
        <w:rPr>
          <w:rFonts w:hint="eastAsia"/>
          <w:sz w:val="24"/>
        </w:rPr>
        <w:t>，比选文件中没有规定的评标标准不得作为评审的依据。</w:t>
      </w:r>
    </w:p>
    <w:p w14:paraId="7E14F8B1">
      <w:pPr>
        <w:tabs>
          <w:tab w:val="left" w:pos="900"/>
          <w:tab w:val="left" w:pos="1589"/>
          <w:tab w:val="left" w:pos="1701"/>
        </w:tabs>
        <w:snapToGrid w:val="0"/>
        <w:spacing w:line="360" w:lineRule="auto"/>
        <w:ind w:left="1985"/>
        <w:rPr>
          <w:sz w:val="24"/>
        </w:rPr>
      </w:pPr>
      <w:r>
        <w:rPr>
          <w:rFonts w:ascii="宋体" w:hAnsi="宋体"/>
          <w:sz w:val="24"/>
        </w:rPr>
        <w:t>□</w:t>
      </w:r>
      <w:r>
        <w:rPr>
          <w:sz w:val="24"/>
        </w:rPr>
        <w:t>最低评标价法，指</w:t>
      </w:r>
      <w:r>
        <w:rPr>
          <w:rFonts w:hint="eastAsia"/>
          <w:sz w:val="24"/>
        </w:rPr>
        <w:t>响应文件</w:t>
      </w:r>
      <w:r>
        <w:rPr>
          <w:sz w:val="24"/>
        </w:rPr>
        <w:t>满足</w:t>
      </w:r>
      <w:r>
        <w:rPr>
          <w:rFonts w:hint="eastAsia"/>
          <w:sz w:val="24"/>
        </w:rPr>
        <w:t>比选文件</w:t>
      </w:r>
      <w:r>
        <w:rPr>
          <w:sz w:val="24"/>
        </w:rPr>
        <w:t>全部实质性要求，且</w:t>
      </w:r>
      <w:r>
        <w:rPr>
          <w:rFonts w:hint="eastAsia"/>
          <w:sz w:val="24"/>
        </w:rPr>
        <w:t>比选报价</w:t>
      </w:r>
      <w:r>
        <w:rPr>
          <w:sz w:val="24"/>
        </w:rPr>
        <w:t>最低的</w:t>
      </w:r>
      <w:r>
        <w:rPr>
          <w:rFonts w:hint="eastAsia"/>
          <w:sz w:val="24"/>
        </w:rPr>
        <w:t>参选人</w:t>
      </w:r>
      <w:r>
        <w:rPr>
          <w:sz w:val="24"/>
        </w:rPr>
        <w:t>为</w:t>
      </w:r>
      <w:r>
        <w:rPr>
          <w:rFonts w:hint="eastAsia"/>
          <w:sz w:val="24"/>
        </w:rPr>
        <w:t>中选候选人</w:t>
      </w:r>
      <w:r>
        <w:rPr>
          <w:sz w:val="24"/>
        </w:rPr>
        <w:t>的评标方法。</w:t>
      </w:r>
    </w:p>
    <w:p w14:paraId="422B0EAF">
      <w:pPr>
        <w:numPr>
          <w:ilvl w:val="2"/>
          <w:numId w:val="19"/>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w:t>
      </w:r>
      <w:r>
        <w:rPr>
          <w:rFonts w:hint="eastAsia"/>
          <w:sz w:val="24"/>
        </w:rPr>
        <w:t>参选人</w:t>
      </w:r>
      <w:r>
        <w:rPr>
          <w:sz w:val="24"/>
        </w:rPr>
        <w:t>参加同一合同项下投标的，以其中通过资格审查、符合性审查且报价最低的参加评标；报价相同的，由采购人或者采购人委托评标委员会按照下述方法确定一个参加评标的</w:t>
      </w:r>
      <w:r>
        <w:rPr>
          <w:rFonts w:hint="eastAsia"/>
          <w:sz w:val="24"/>
        </w:rPr>
        <w:t>参选人</w:t>
      </w:r>
      <w:r>
        <w:rPr>
          <w:sz w:val="24"/>
        </w:rPr>
        <w:t>，其他</w:t>
      </w:r>
      <w:r>
        <w:rPr>
          <w:b/>
          <w:sz w:val="24"/>
        </w:rPr>
        <w:t>投标无效</w:t>
      </w:r>
      <w:r>
        <w:rPr>
          <w:sz w:val="24"/>
        </w:rPr>
        <w:t>。</w:t>
      </w:r>
    </w:p>
    <w:p w14:paraId="5273E861">
      <w:pPr>
        <w:tabs>
          <w:tab w:val="left" w:pos="1080"/>
          <w:tab w:val="left" w:pos="1589"/>
          <w:tab w:val="left" w:pos="2035"/>
        </w:tabs>
        <w:snapToGrid w:val="0"/>
        <w:spacing w:line="360" w:lineRule="auto"/>
        <w:ind w:left="2035"/>
        <w:rPr>
          <w:rFonts w:ascii="宋体" w:hAnsi="宋体"/>
          <w:sz w:val="24"/>
        </w:rPr>
      </w:pPr>
      <w:r>
        <w:rPr>
          <w:rFonts w:ascii="宋体" w:hAnsi="宋体"/>
          <w:sz w:val="24"/>
        </w:rPr>
        <w:t>□随机抽取</w:t>
      </w:r>
    </w:p>
    <w:p w14:paraId="3ABBBAE2">
      <w:pPr>
        <w:tabs>
          <w:tab w:val="left" w:pos="1080"/>
          <w:tab w:val="left" w:pos="1589"/>
          <w:tab w:val="left" w:pos="2035"/>
        </w:tabs>
        <w:snapToGrid w:val="0"/>
        <w:spacing w:line="360" w:lineRule="auto"/>
        <w:ind w:left="2035"/>
        <w:rPr>
          <w:sz w:val="24"/>
          <w:u w:val="single"/>
        </w:rPr>
      </w:pPr>
      <w:r>
        <w:rPr>
          <w:rFonts w:ascii="宋体" w:hAnsi="宋体"/>
          <w:sz w:val="24"/>
        </w:rPr>
        <w:t>□其</w:t>
      </w:r>
      <w:r>
        <w:rPr>
          <w:sz w:val="24"/>
        </w:rPr>
        <w:t>他方式，具体要求：</w:t>
      </w:r>
      <w:r>
        <w:rPr>
          <w:rFonts w:hint="eastAsia"/>
          <w:sz w:val="24"/>
          <w:u w:val="single"/>
        </w:rPr>
        <w:t>以技术指标优劣排列最高的参选人参加评标。</w:t>
      </w:r>
    </w:p>
    <w:p w14:paraId="4C16A4C7">
      <w:pPr>
        <w:numPr>
          <w:ilvl w:val="2"/>
          <w:numId w:val="19"/>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w:t>
      </w:r>
      <w:r>
        <w:rPr>
          <w:sz w:val="24"/>
          <w:u w:val="single"/>
        </w:rPr>
        <w:t xml:space="preserve"> </w:t>
      </w:r>
      <w:r>
        <w:rPr>
          <w:rFonts w:hint="eastAsia"/>
          <w:sz w:val="24"/>
          <w:u w:val="single"/>
        </w:rPr>
        <w:t>详见评分标准</w:t>
      </w:r>
      <w:r>
        <w:rPr>
          <w:sz w:val="24"/>
          <w:u w:val="single"/>
        </w:rPr>
        <w:t xml:space="preserve">  </w:t>
      </w:r>
      <w:r>
        <w:rPr>
          <w:sz w:val="24"/>
        </w:rPr>
        <w:t>。</w:t>
      </w:r>
    </w:p>
    <w:p w14:paraId="0D23E450">
      <w:pPr>
        <w:numPr>
          <w:ilvl w:val="2"/>
          <w:numId w:val="19"/>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w:t>
      </w:r>
      <w:r>
        <w:rPr>
          <w:rFonts w:hint="eastAsia"/>
          <w:sz w:val="24"/>
          <w:u w:val="single"/>
        </w:rPr>
        <w:t xml:space="preserve"> 详见评分标准</w:t>
      </w:r>
      <w:r>
        <w:rPr>
          <w:sz w:val="24"/>
          <w:u w:val="single"/>
        </w:rPr>
        <w:t xml:space="preserve">  </w:t>
      </w:r>
      <w:r>
        <w:rPr>
          <w:sz w:val="24"/>
        </w:rPr>
        <w:t>。</w:t>
      </w:r>
    </w:p>
    <w:p w14:paraId="07C94780">
      <w:pPr>
        <w:numPr>
          <w:ilvl w:val="0"/>
          <w:numId w:val="19"/>
        </w:numPr>
        <w:tabs>
          <w:tab w:val="left" w:pos="360"/>
        </w:tabs>
        <w:snapToGrid w:val="0"/>
        <w:spacing w:line="360" w:lineRule="auto"/>
        <w:outlineLvl w:val="1"/>
        <w:rPr>
          <w:sz w:val="24"/>
        </w:rPr>
      </w:pPr>
      <w:r>
        <w:rPr>
          <w:sz w:val="24"/>
        </w:rPr>
        <w:t>确定</w:t>
      </w:r>
      <w:bookmarkStart w:id="677" w:name="_Toc164229387"/>
      <w:bookmarkStart w:id="678" w:name="_Toc195842911"/>
      <w:bookmarkStart w:id="679" w:name="_Toc142311048"/>
      <w:bookmarkStart w:id="680" w:name="_Toc164351640"/>
      <w:bookmarkStart w:id="681" w:name="_Toc164608660"/>
      <w:bookmarkStart w:id="682" w:name="_Toc150509297"/>
      <w:bookmarkStart w:id="683" w:name="_Toc305158888"/>
      <w:bookmarkStart w:id="684" w:name="_Toc150480784"/>
      <w:bookmarkStart w:id="685" w:name="_Toc151193716"/>
      <w:bookmarkStart w:id="686" w:name="_Toc127151747"/>
      <w:bookmarkStart w:id="687" w:name="_Toc164608815"/>
      <w:bookmarkStart w:id="688" w:name="_Ref467307010"/>
      <w:bookmarkStart w:id="689" w:name="_Toc226965736"/>
      <w:bookmarkStart w:id="690" w:name="_Toc150774646"/>
      <w:bookmarkStart w:id="691" w:name="_Toc150774751"/>
      <w:bookmarkStart w:id="692" w:name="_Toc520356170"/>
      <w:bookmarkStart w:id="693" w:name="_Toc149720839"/>
      <w:bookmarkStart w:id="694" w:name="_Toc305158814"/>
      <w:bookmarkStart w:id="695" w:name="_Toc164229241"/>
      <w:bookmarkStart w:id="696" w:name="_Toc226965819"/>
      <w:bookmarkStart w:id="697" w:name="_Toc264969236"/>
      <w:bookmarkStart w:id="698" w:name="_Toc151193788"/>
      <w:bookmarkStart w:id="699" w:name="_Toc151193860"/>
      <w:bookmarkStart w:id="700" w:name="_Toc151193644"/>
      <w:bookmarkStart w:id="701" w:name="_Toc226309790"/>
      <w:bookmarkStart w:id="702" w:name="_Toc151193934"/>
      <w:bookmarkStart w:id="703" w:name="_Toc127161460"/>
      <w:bookmarkStart w:id="704" w:name="_Toc151190173"/>
      <w:bookmarkStart w:id="705" w:name="_Toc265228384"/>
      <w:bookmarkStart w:id="706" w:name="_Toc226337242"/>
      <w:bookmarkStart w:id="707" w:name="_Toc127151546"/>
      <w:r>
        <w:rPr>
          <w:rFonts w:hint="eastAsia"/>
          <w:sz w:val="24"/>
        </w:rPr>
        <w:t>中选候选人</w:t>
      </w:r>
      <w:r>
        <w:rPr>
          <w:sz w:val="24"/>
        </w:rPr>
        <w:t>名单</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47A942AC">
      <w:pPr>
        <w:numPr>
          <w:ilvl w:val="1"/>
          <w:numId w:val="19"/>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w:t>
      </w:r>
      <w:r>
        <w:rPr>
          <w:rFonts w:hint="eastAsia"/>
          <w:sz w:val="24"/>
        </w:rPr>
        <w:t>参选人</w:t>
      </w:r>
      <w:r>
        <w:rPr>
          <w:sz w:val="24"/>
        </w:rPr>
        <w:t>参加同一合同项下投标的，按一家</w:t>
      </w:r>
      <w:r>
        <w:rPr>
          <w:rFonts w:hint="eastAsia"/>
          <w:sz w:val="24"/>
        </w:rPr>
        <w:t>参选人</w:t>
      </w:r>
      <w:r>
        <w:rPr>
          <w:sz w:val="24"/>
        </w:rPr>
        <w:t>计算，评审后得分最高的同品牌</w:t>
      </w:r>
      <w:r>
        <w:rPr>
          <w:rFonts w:hint="eastAsia"/>
          <w:sz w:val="24"/>
        </w:rPr>
        <w:t>参选人</w:t>
      </w:r>
      <w:r>
        <w:rPr>
          <w:sz w:val="24"/>
        </w:rPr>
        <w:t>获得</w:t>
      </w:r>
      <w:r>
        <w:rPr>
          <w:rFonts w:hint="eastAsia"/>
          <w:sz w:val="24"/>
        </w:rPr>
        <w:t>中选</w:t>
      </w:r>
      <w:r>
        <w:rPr>
          <w:sz w:val="24"/>
        </w:rPr>
        <w:t>人推荐资格；评审得分相同的，评标委员会按照下述规定确定一个</w:t>
      </w:r>
      <w:r>
        <w:rPr>
          <w:rFonts w:hint="eastAsia"/>
          <w:sz w:val="24"/>
        </w:rPr>
        <w:t>参选人</w:t>
      </w:r>
      <w:r>
        <w:rPr>
          <w:sz w:val="24"/>
        </w:rPr>
        <w:t>获得</w:t>
      </w:r>
      <w:r>
        <w:rPr>
          <w:rFonts w:hint="eastAsia"/>
          <w:sz w:val="24"/>
        </w:rPr>
        <w:t>中选</w:t>
      </w:r>
      <w:r>
        <w:rPr>
          <w:sz w:val="24"/>
        </w:rPr>
        <w:t>人推荐资格，其他同品牌</w:t>
      </w:r>
      <w:r>
        <w:rPr>
          <w:rFonts w:hint="eastAsia"/>
          <w:sz w:val="24"/>
        </w:rPr>
        <w:t>参选人</w:t>
      </w:r>
      <w:r>
        <w:rPr>
          <w:sz w:val="24"/>
        </w:rPr>
        <w:t>不作为</w:t>
      </w:r>
      <w:r>
        <w:rPr>
          <w:rFonts w:hint="eastAsia"/>
          <w:sz w:val="24"/>
        </w:rPr>
        <w:t>中选候选人</w:t>
      </w:r>
      <w:r>
        <w:rPr>
          <w:sz w:val="24"/>
        </w:rPr>
        <w:t>。</w:t>
      </w:r>
    </w:p>
    <w:p w14:paraId="775206EA">
      <w:pPr>
        <w:pStyle w:val="26"/>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hAnsi="宋体"/>
          <w:sz w:val="24"/>
          <w:szCs w:val="24"/>
        </w:rPr>
        <w:t>□</w:t>
      </w:r>
      <w:r>
        <w:rPr>
          <w:rFonts w:hint="default" w:ascii="Times New Roman" w:hAnsi="Times New Roman"/>
          <w:sz w:val="24"/>
          <w:szCs w:val="24"/>
        </w:rPr>
        <w:t>随机抽取</w:t>
      </w:r>
    </w:p>
    <w:p w14:paraId="307093B7">
      <w:pPr>
        <w:tabs>
          <w:tab w:val="left" w:pos="1080"/>
          <w:tab w:val="left" w:pos="1589"/>
        </w:tabs>
        <w:snapToGrid w:val="0"/>
        <w:spacing w:line="360" w:lineRule="auto"/>
        <w:ind w:left="1077"/>
        <w:rPr>
          <w:sz w:val="24"/>
        </w:rPr>
      </w:pPr>
      <w:r>
        <w:rPr>
          <w:rFonts w:ascii="宋体" w:hAnsi="宋体"/>
          <w:sz w:val="24"/>
        </w:rPr>
        <w:t>■</w:t>
      </w:r>
      <w:r>
        <w:rPr>
          <w:sz w:val="24"/>
        </w:rPr>
        <w:t>其他方式，具体要求：</w:t>
      </w:r>
      <w:r>
        <w:rPr>
          <w:rFonts w:hint="eastAsia"/>
          <w:sz w:val="24"/>
          <w:u w:val="single"/>
        </w:rPr>
        <w:t>按比选报价由低到高顺序排列</w:t>
      </w:r>
      <w:r>
        <w:rPr>
          <w:sz w:val="24"/>
          <w:u w:val="single"/>
        </w:rPr>
        <w:t>，</w:t>
      </w:r>
      <w:r>
        <w:rPr>
          <w:rFonts w:hint="eastAsia"/>
          <w:sz w:val="24"/>
          <w:u w:val="single"/>
        </w:rPr>
        <w:t>且比选报价最低的参选人获得中选人推荐资格。</w:t>
      </w:r>
    </w:p>
    <w:p w14:paraId="0F6AAB1D">
      <w:pPr>
        <w:numPr>
          <w:ilvl w:val="1"/>
          <w:numId w:val="19"/>
        </w:numPr>
        <w:tabs>
          <w:tab w:val="left" w:pos="1080"/>
        </w:tabs>
        <w:snapToGrid w:val="0"/>
        <w:spacing w:line="360" w:lineRule="auto"/>
        <w:ind w:left="1077" w:hanging="720"/>
        <w:rPr>
          <w:sz w:val="24"/>
        </w:rPr>
      </w:pPr>
      <w:r>
        <w:rPr>
          <w:sz w:val="24"/>
        </w:rPr>
        <w:t>采用综合评分法时，评标结果按评审后得分由高到低顺序排列。得分相同的，按</w:t>
      </w:r>
      <w:r>
        <w:rPr>
          <w:rFonts w:hint="eastAsia"/>
          <w:sz w:val="24"/>
        </w:rPr>
        <w:t>比选报价</w:t>
      </w:r>
      <w:r>
        <w:rPr>
          <w:sz w:val="24"/>
        </w:rPr>
        <w:t>由低到高顺序排列。得分且</w:t>
      </w:r>
      <w:r>
        <w:rPr>
          <w:rFonts w:hint="eastAsia"/>
          <w:sz w:val="24"/>
        </w:rPr>
        <w:t>比选报价</w:t>
      </w:r>
      <w:r>
        <w:rPr>
          <w:sz w:val="24"/>
        </w:rPr>
        <w:t>相同的并列。</w:t>
      </w:r>
      <w:r>
        <w:rPr>
          <w:rFonts w:hint="eastAsia"/>
          <w:sz w:val="24"/>
        </w:rPr>
        <w:t>响应文件</w:t>
      </w:r>
      <w:r>
        <w:rPr>
          <w:sz w:val="24"/>
        </w:rPr>
        <w:t>满足</w:t>
      </w:r>
      <w:r>
        <w:rPr>
          <w:rFonts w:hint="eastAsia"/>
          <w:sz w:val="24"/>
        </w:rPr>
        <w:t>比选文件</w:t>
      </w:r>
      <w:r>
        <w:rPr>
          <w:sz w:val="24"/>
        </w:rPr>
        <w:t>全部实质性要求，且按照评审因素的量化指标评审得分最高的</w:t>
      </w:r>
      <w:r>
        <w:rPr>
          <w:rFonts w:hint="eastAsia"/>
          <w:sz w:val="24"/>
        </w:rPr>
        <w:t>参选人</w:t>
      </w:r>
      <w:r>
        <w:rPr>
          <w:sz w:val="24"/>
        </w:rPr>
        <w:t>为排名第一的</w:t>
      </w:r>
      <w:r>
        <w:rPr>
          <w:rFonts w:hint="eastAsia"/>
          <w:sz w:val="24"/>
        </w:rPr>
        <w:t>中选候选人</w:t>
      </w:r>
      <w:r>
        <w:rPr>
          <w:sz w:val="24"/>
        </w:rPr>
        <w:t>。评分分值计算保留小数点后两位，第三位四舍五入。</w:t>
      </w:r>
    </w:p>
    <w:p w14:paraId="768DE67A">
      <w:pPr>
        <w:numPr>
          <w:ilvl w:val="1"/>
          <w:numId w:val="19"/>
        </w:numPr>
        <w:tabs>
          <w:tab w:val="left" w:pos="1080"/>
        </w:tabs>
        <w:snapToGrid w:val="0"/>
        <w:spacing w:line="360" w:lineRule="auto"/>
        <w:ind w:left="1077" w:hanging="720"/>
        <w:rPr>
          <w:sz w:val="24"/>
        </w:rPr>
      </w:pPr>
      <w:r>
        <w:rPr>
          <w:sz w:val="24"/>
        </w:rPr>
        <w:t>采用最低评标价法时，评标结果按本章2.4、2.5调整后的</w:t>
      </w:r>
      <w:r>
        <w:rPr>
          <w:rFonts w:hint="eastAsia"/>
          <w:sz w:val="24"/>
        </w:rPr>
        <w:t>比选报价</w:t>
      </w:r>
      <w:r>
        <w:rPr>
          <w:sz w:val="24"/>
        </w:rPr>
        <w:t>由低到高顺序排列。</w:t>
      </w:r>
      <w:r>
        <w:rPr>
          <w:rFonts w:hint="eastAsia"/>
          <w:sz w:val="24"/>
        </w:rPr>
        <w:t>比选报价</w:t>
      </w:r>
      <w:r>
        <w:rPr>
          <w:sz w:val="24"/>
        </w:rPr>
        <w:t>相同的并列。</w:t>
      </w:r>
      <w:r>
        <w:rPr>
          <w:rFonts w:hint="eastAsia"/>
          <w:sz w:val="24"/>
        </w:rPr>
        <w:t>响应文件</w:t>
      </w:r>
      <w:r>
        <w:rPr>
          <w:sz w:val="24"/>
        </w:rPr>
        <w:t>满足</w:t>
      </w:r>
      <w:r>
        <w:rPr>
          <w:rFonts w:hint="eastAsia"/>
          <w:sz w:val="24"/>
        </w:rPr>
        <w:t>比选文件</w:t>
      </w:r>
      <w:r>
        <w:rPr>
          <w:sz w:val="24"/>
        </w:rPr>
        <w:t>全部实质性要求且</w:t>
      </w:r>
      <w:r>
        <w:rPr>
          <w:rFonts w:hint="eastAsia"/>
          <w:sz w:val="24"/>
        </w:rPr>
        <w:t>比选报价</w:t>
      </w:r>
      <w:r>
        <w:rPr>
          <w:sz w:val="24"/>
        </w:rPr>
        <w:t>最低的</w:t>
      </w:r>
      <w:r>
        <w:rPr>
          <w:rFonts w:hint="eastAsia"/>
          <w:sz w:val="24"/>
        </w:rPr>
        <w:t>参选人</w:t>
      </w:r>
      <w:r>
        <w:rPr>
          <w:sz w:val="24"/>
        </w:rPr>
        <w:t>为排名第一的</w:t>
      </w:r>
      <w:r>
        <w:rPr>
          <w:rFonts w:hint="eastAsia"/>
          <w:sz w:val="24"/>
        </w:rPr>
        <w:t>中选候选人</w:t>
      </w:r>
      <w:r>
        <w:rPr>
          <w:sz w:val="24"/>
        </w:rPr>
        <w:t>。</w:t>
      </w:r>
    </w:p>
    <w:p w14:paraId="1DF6AA77">
      <w:pPr>
        <w:numPr>
          <w:ilvl w:val="1"/>
          <w:numId w:val="19"/>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63C37237">
      <w:pPr>
        <w:numPr>
          <w:ilvl w:val="1"/>
          <w:numId w:val="19"/>
        </w:numPr>
        <w:tabs>
          <w:tab w:val="left" w:pos="1080"/>
        </w:tabs>
        <w:snapToGrid w:val="0"/>
        <w:spacing w:line="360" w:lineRule="auto"/>
        <w:ind w:left="1077" w:hanging="720"/>
        <w:rPr>
          <w:sz w:val="24"/>
        </w:rPr>
      </w:pPr>
      <w:r>
        <w:rPr>
          <w:sz w:val="24"/>
        </w:rPr>
        <w:t>评标委员会将根据各</w:t>
      </w:r>
      <w:r>
        <w:rPr>
          <w:rFonts w:hint="eastAsia"/>
          <w:sz w:val="24"/>
        </w:rPr>
        <w:t>参选人</w:t>
      </w:r>
      <w:r>
        <w:rPr>
          <w:sz w:val="24"/>
        </w:rPr>
        <w:t>的评标排序，依次推荐本项目（</w:t>
      </w:r>
      <w:r>
        <w:rPr>
          <w:rFonts w:hint="eastAsia"/>
          <w:sz w:val="24"/>
        </w:rPr>
        <w:t>各</w:t>
      </w:r>
      <w:r>
        <w:rPr>
          <w:sz w:val="24"/>
        </w:rPr>
        <w:t>采购包）的</w:t>
      </w:r>
      <w:r>
        <w:rPr>
          <w:rFonts w:hint="eastAsia"/>
          <w:sz w:val="24"/>
        </w:rPr>
        <w:t>中选候选人</w:t>
      </w:r>
      <w:r>
        <w:rPr>
          <w:sz w:val="24"/>
        </w:rPr>
        <w:t>，起草并签署评标报告。本项目（</w:t>
      </w:r>
      <w:r>
        <w:rPr>
          <w:rFonts w:hint="eastAsia"/>
          <w:sz w:val="24"/>
        </w:rPr>
        <w:t>各</w:t>
      </w:r>
      <w:r>
        <w:rPr>
          <w:sz w:val="24"/>
        </w:rPr>
        <w:t>采购包）评标委员会共（各）推荐</w:t>
      </w:r>
      <w:r>
        <w:rPr>
          <w:sz w:val="24"/>
          <w:u w:val="single"/>
        </w:rPr>
        <w:t xml:space="preserve">  3  </w:t>
      </w:r>
      <w:r>
        <w:rPr>
          <w:sz w:val="24"/>
        </w:rPr>
        <w:t>名</w:t>
      </w:r>
      <w:r>
        <w:rPr>
          <w:rFonts w:hint="eastAsia"/>
          <w:sz w:val="24"/>
        </w:rPr>
        <w:t>中选候选人</w:t>
      </w:r>
      <w:r>
        <w:rPr>
          <w:sz w:val="24"/>
        </w:rPr>
        <w:t>。</w:t>
      </w:r>
    </w:p>
    <w:p w14:paraId="672AB4EE">
      <w:pPr>
        <w:numPr>
          <w:ilvl w:val="0"/>
          <w:numId w:val="19"/>
        </w:numPr>
        <w:tabs>
          <w:tab w:val="left" w:pos="360"/>
        </w:tabs>
        <w:snapToGrid w:val="0"/>
        <w:spacing w:line="360" w:lineRule="auto"/>
        <w:outlineLvl w:val="1"/>
        <w:rPr>
          <w:sz w:val="24"/>
        </w:rPr>
      </w:pPr>
      <w:r>
        <w:rPr>
          <w:sz w:val="24"/>
        </w:rPr>
        <w:t>报告违法行为</w:t>
      </w:r>
    </w:p>
    <w:p w14:paraId="0DC4F3F3">
      <w:pPr>
        <w:numPr>
          <w:ilvl w:val="1"/>
          <w:numId w:val="19"/>
        </w:numPr>
        <w:tabs>
          <w:tab w:val="left" w:pos="1080"/>
        </w:tabs>
        <w:snapToGrid w:val="0"/>
        <w:spacing w:line="360" w:lineRule="auto"/>
        <w:ind w:left="1077" w:hanging="720"/>
        <w:rPr>
          <w:sz w:val="24"/>
        </w:rPr>
      </w:pPr>
      <w:r>
        <w:rPr>
          <w:sz w:val="24"/>
        </w:rPr>
        <w:t>评标委员会在评标过程中发现</w:t>
      </w:r>
      <w:r>
        <w:rPr>
          <w:rFonts w:hint="eastAsia"/>
          <w:sz w:val="24"/>
        </w:rPr>
        <w:t>参选人</w:t>
      </w:r>
      <w:r>
        <w:rPr>
          <w:sz w:val="24"/>
        </w:rPr>
        <w:t>有行贿、提供虚假材料或者串通等违法行为时，有向采购人、采购代理机构或者有关部门报告的职责。</w:t>
      </w:r>
    </w:p>
    <w:p w14:paraId="404AC575">
      <w:pPr>
        <w:widowControl/>
        <w:jc w:val="left"/>
        <w:rPr>
          <w:b/>
          <w:sz w:val="24"/>
        </w:rPr>
      </w:pPr>
      <w:r>
        <w:rPr>
          <w:b/>
          <w:sz w:val="24"/>
        </w:rPr>
        <w:br w:type="page"/>
      </w:r>
    </w:p>
    <w:p w14:paraId="23BEC861">
      <w:pPr>
        <w:numPr>
          <w:ilvl w:val="0"/>
          <w:numId w:val="18"/>
        </w:numPr>
        <w:tabs>
          <w:tab w:val="left" w:pos="360"/>
          <w:tab w:val="left" w:pos="900"/>
        </w:tabs>
        <w:snapToGrid w:val="0"/>
        <w:spacing w:line="360" w:lineRule="auto"/>
        <w:jc w:val="center"/>
        <w:outlineLvl w:val="1"/>
        <w:rPr>
          <w:b/>
          <w:sz w:val="24"/>
        </w:rPr>
      </w:pPr>
      <w:r>
        <w:rPr>
          <w:b/>
          <w:sz w:val="24"/>
        </w:rPr>
        <w:t>评标标准</w:t>
      </w:r>
    </w:p>
    <w:p w14:paraId="47064FF4">
      <w:pPr>
        <w:autoSpaceDE w:val="0"/>
        <w:autoSpaceDN w:val="0"/>
        <w:adjustRightInd w:val="0"/>
        <w:snapToGrid w:val="0"/>
        <w:rPr>
          <w:rFonts w:ascii="宋体" w:hAnsi="宋体" w:cs="宋体"/>
          <w:szCs w:val="21"/>
        </w:rPr>
      </w:pP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tbl>
      <w:tblPr>
        <w:tblStyle w:val="5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26"/>
        <w:gridCol w:w="6520"/>
      </w:tblGrid>
      <w:tr w14:paraId="5131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58E88375">
            <w:pPr>
              <w:spacing w:line="264" w:lineRule="auto"/>
              <w:jc w:val="center"/>
              <w:rPr>
                <w:rFonts w:ascii="宋体" w:hAnsi="宋体"/>
                <w:b/>
                <w:sz w:val="21"/>
                <w:szCs w:val="21"/>
              </w:rPr>
            </w:pPr>
            <w:bookmarkStart w:id="708" w:name="_Toc29765_WPSOffice_Level2"/>
            <w:bookmarkStart w:id="709" w:name="_Toc10425"/>
            <w:bookmarkStart w:id="710" w:name="_Toc2416_WPSOffice_Level1"/>
            <w:bookmarkStart w:id="711" w:name="_Toc14876"/>
            <w:r>
              <w:rPr>
                <w:rFonts w:hint="eastAsia" w:ascii="宋体" w:hAnsi="宋体"/>
                <w:b/>
                <w:sz w:val="21"/>
                <w:szCs w:val="21"/>
              </w:rPr>
              <w:t>评审因素</w:t>
            </w:r>
          </w:p>
        </w:tc>
        <w:tc>
          <w:tcPr>
            <w:tcW w:w="6520" w:type="dxa"/>
            <w:tcBorders>
              <w:top w:val="single" w:color="auto" w:sz="4" w:space="0"/>
              <w:left w:val="single" w:color="auto" w:sz="4" w:space="0"/>
              <w:bottom w:val="single" w:color="auto" w:sz="4" w:space="0"/>
              <w:right w:val="single" w:color="auto" w:sz="4" w:space="0"/>
            </w:tcBorders>
            <w:vAlign w:val="center"/>
          </w:tcPr>
          <w:p w14:paraId="4CC9FC10">
            <w:pPr>
              <w:spacing w:line="264" w:lineRule="auto"/>
              <w:jc w:val="center"/>
              <w:rPr>
                <w:rFonts w:ascii="宋体" w:hAnsi="宋体"/>
                <w:b/>
                <w:sz w:val="21"/>
                <w:szCs w:val="21"/>
              </w:rPr>
            </w:pPr>
            <w:r>
              <w:rPr>
                <w:rFonts w:hint="eastAsia" w:ascii="宋体" w:hAnsi="宋体"/>
                <w:b/>
                <w:sz w:val="21"/>
                <w:szCs w:val="21"/>
              </w:rPr>
              <w:t>评分标准说明</w:t>
            </w:r>
          </w:p>
        </w:tc>
      </w:tr>
      <w:tr w14:paraId="0A7F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60539B">
            <w:pPr>
              <w:spacing w:line="264" w:lineRule="auto"/>
              <w:jc w:val="center"/>
              <w:rPr>
                <w:rFonts w:ascii="宋体" w:hAnsi="宋体"/>
                <w:b/>
                <w:sz w:val="21"/>
                <w:szCs w:val="21"/>
              </w:rPr>
            </w:pPr>
            <w:r>
              <w:rPr>
                <w:rFonts w:hint="eastAsia" w:ascii="宋体" w:hAnsi="宋体"/>
                <w:b/>
                <w:sz w:val="21"/>
                <w:szCs w:val="21"/>
              </w:rPr>
              <w:t>价格部分</w:t>
            </w:r>
          </w:p>
          <w:p w14:paraId="5B067395">
            <w:pPr>
              <w:spacing w:line="264" w:lineRule="auto"/>
              <w:jc w:val="center"/>
              <w:rPr>
                <w:rFonts w:ascii="宋体" w:hAnsi="宋体"/>
                <w:b/>
                <w:sz w:val="21"/>
                <w:szCs w:val="21"/>
              </w:rPr>
            </w:pPr>
            <w:r>
              <w:rPr>
                <w:rFonts w:hint="eastAsia" w:ascii="宋体" w:hAnsi="宋体"/>
                <w:b/>
                <w:sz w:val="21"/>
                <w:szCs w:val="21"/>
              </w:rPr>
              <w:t>1</w:t>
            </w:r>
            <w:r>
              <w:rPr>
                <w:rFonts w:ascii="宋体" w:hAnsi="宋体"/>
                <w:b/>
                <w:sz w:val="21"/>
                <w:szCs w:val="21"/>
              </w:rPr>
              <w:t>0分</w:t>
            </w:r>
          </w:p>
        </w:tc>
        <w:tc>
          <w:tcPr>
            <w:tcW w:w="1526" w:type="dxa"/>
            <w:tcBorders>
              <w:top w:val="single" w:color="auto" w:sz="4" w:space="0"/>
              <w:left w:val="single" w:color="auto" w:sz="4" w:space="0"/>
              <w:bottom w:val="single" w:color="auto" w:sz="4" w:space="0"/>
              <w:right w:val="single" w:color="auto" w:sz="4" w:space="0"/>
            </w:tcBorders>
            <w:vAlign w:val="center"/>
          </w:tcPr>
          <w:p w14:paraId="0436EFA8">
            <w:pPr>
              <w:spacing w:before="120" w:beforeLines="50" w:after="120" w:afterLines="50"/>
              <w:contextualSpacing/>
              <w:jc w:val="center"/>
              <w:rPr>
                <w:rFonts w:ascii="宋体" w:hAnsi="宋体" w:cs="宋体"/>
                <w:sz w:val="21"/>
                <w:szCs w:val="21"/>
              </w:rPr>
            </w:pPr>
            <w:r>
              <w:rPr>
                <w:rFonts w:hint="eastAsia" w:ascii="宋体" w:hAnsi="宋体" w:cs="宋体"/>
                <w:sz w:val="21"/>
                <w:szCs w:val="21"/>
                <w:lang w:eastAsia="zh-CN"/>
              </w:rPr>
              <w:t>参选人</w:t>
            </w:r>
            <w:r>
              <w:rPr>
                <w:rFonts w:hint="eastAsia" w:ascii="宋体" w:hAnsi="宋体" w:cs="宋体"/>
                <w:sz w:val="21"/>
                <w:szCs w:val="21"/>
              </w:rPr>
              <w:t>报价（1</w:t>
            </w:r>
            <w:r>
              <w:rPr>
                <w:rFonts w:ascii="宋体" w:hAnsi="宋体" w:cs="宋体"/>
                <w:sz w:val="21"/>
                <w:szCs w:val="21"/>
              </w:rPr>
              <w:t>0分</w:t>
            </w:r>
            <w:r>
              <w:rPr>
                <w:rFonts w:hint="eastAsia" w:ascii="宋体" w:hAnsi="宋体" w:cs="宋体"/>
                <w:sz w:val="21"/>
                <w:szCs w:val="21"/>
              </w:rPr>
              <w:t>）</w:t>
            </w:r>
          </w:p>
        </w:tc>
        <w:tc>
          <w:tcPr>
            <w:tcW w:w="6520" w:type="dxa"/>
            <w:tcBorders>
              <w:top w:val="single" w:color="auto" w:sz="4" w:space="0"/>
              <w:left w:val="single" w:color="auto" w:sz="4" w:space="0"/>
              <w:bottom w:val="single" w:color="auto" w:sz="4" w:space="0"/>
              <w:right w:val="single" w:color="auto" w:sz="4" w:space="0"/>
            </w:tcBorders>
            <w:vAlign w:val="center"/>
          </w:tcPr>
          <w:p w14:paraId="2BBEEAF8">
            <w:pPr>
              <w:widowControl w:val="0"/>
              <w:spacing w:line="360" w:lineRule="auto"/>
              <w:jc w:val="both"/>
              <w:rPr>
                <w:rFonts w:hint="eastAsia" w:ascii="宋体" w:hAnsi="宋体"/>
                <w:kern w:val="10"/>
                <w:sz w:val="21"/>
                <w:szCs w:val="21"/>
              </w:rPr>
            </w:pPr>
            <w:r>
              <w:rPr>
                <w:rFonts w:hint="eastAsia" w:ascii="宋体" w:hAnsi="宋体"/>
                <w:kern w:val="10"/>
                <w:sz w:val="21"/>
                <w:szCs w:val="21"/>
              </w:rPr>
              <w:t>最低报价作为评审基准价，其价格分为满分,其他</w:t>
            </w:r>
            <w:r>
              <w:rPr>
                <w:rFonts w:hint="eastAsia" w:ascii="宋体" w:hAnsi="宋体"/>
                <w:kern w:val="10"/>
                <w:sz w:val="21"/>
                <w:szCs w:val="21"/>
                <w:lang w:eastAsia="zh-CN"/>
              </w:rPr>
              <w:t>参选人</w:t>
            </w:r>
            <w:r>
              <w:rPr>
                <w:rFonts w:hint="eastAsia" w:ascii="宋体" w:hAnsi="宋体"/>
                <w:kern w:val="10"/>
                <w:sz w:val="21"/>
                <w:szCs w:val="21"/>
              </w:rPr>
              <w:t>价格分按下列公式计算：</w:t>
            </w:r>
          </w:p>
          <w:p w14:paraId="07030781">
            <w:pPr>
              <w:widowControl w:val="0"/>
              <w:spacing w:line="360" w:lineRule="auto"/>
              <w:jc w:val="both"/>
              <w:rPr>
                <w:rFonts w:hint="eastAsia" w:ascii="宋体" w:hAnsi="宋体"/>
                <w:kern w:val="10"/>
                <w:sz w:val="21"/>
                <w:szCs w:val="21"/>
              </w:rPr>
            </w:pPr>
            <w:r>
              <w:rPr>
                <w:rFonts w:hint="eastAsia" w:ascii="宋体" w:hAnsi="宋体"/>
                <w:kern w:val="10"/>
                <w:sz w:val="21"/>
                <w:szCs w:val="21"/>
              </w:rPr>
              <w:t>报价得分</w:t>
            </w:r>
            <w:r>
              <w:rPr>
                <w:rFonts w:ascii="宋体" w:hAnsi="宋体"/>
                <w:kern w:val="10"/>
                <w:sz w:val="21"/>
                <w:szCs w:val="21"/>
              </w:rPr>
              <w:t>=</w:t>
            </w:r>
            <w:r>
              <w:rPr>
                <w:rFonts w:hint="eastAsia" w:ascii="宋体" w:hAnsi="宋体"/>
                <w:kern w:val="10"/>
                <w:sz w:val="21"/>
                <w:szCs w:val="21"/>
              </w:rPr>
              <w:t>（</w:t>
            </w:r>
            <w:r>
              <w:rPr>
                <w:rFonts w:hint="eastAsia" w:ascii="宋体" w:hAnsi="宋体"/>
                <w:kern w:val="10"/>
                <w:sz w:val="21"/>
                <w:szCs w:val="21"/>
                <w:lang w:val="en-US" w:eastAsia="zh-CN"/>
              </w:rPr>
              <w:t>评审</w:t>
            </w:r>
            <w:r>
              <w:rPr>
                <w:rFonts w:hint="eastAsia" w:ascii="宋体" w:hAnsi="宋体"/>
                <w:kern w:val="10"/>
                <w:sz w:val="21"/>
                <w:szCs w:val="21"/>
              </w:rPr>
              <w:t>基准价</w:t>
            </w:r>
            <w:r>
              <w:rPr>
                <w:rFonts w:hint="eastAsia" w:ascii="宋体" w:hAnsi="宋体"/>
                <w:kern w:val="10"/>
                <w:sz w:val="21"/>
                <w:szCs w:val="21"/>
                <w:lang w:val="en-US" w:eastAsia="zh-CN"/>
              </w:rPr>
              <w:t>/参选人</w:t>
            </w:r>
            <w:r>
              <w:rPr>
                <w:rFonts w:hint="eastAsia" w:ascii="宋体" w:hAnsi="宋体"/>
                <w:kern w:val="10"/>
                <w:sz w:val="21"/>
                <w:szCs w:val="21"/>
              </w:rPr>
              <w:t>有效报价）×</w:t>
            </w:r>
            <w:r>
              <w:rPr>
                <w:rFonts w:ascii="宋体" w:hAnsi="宋体"/>
                <w:kern w:val="10"/>
                <w:sz w:val="21"/>
                <w:szCs w:val="21"/>
              </w:rPr>
              <w:t>1</w:t>
            </w:r>
            <w:r>
              <w:rPr>
                <w:rFonts w:hint="eastAsia" w:ascii="宋体" w:hAnsi="宋体"/>
                <w:kern w:val="10"/>
                <w:sz w:val="21"/>
                <w:szCs w:val="21"/>
              </w:rPr>
              <w:t>0</w:t>
            </w:r>
          </w:p>
          <w:p w14:paraId="29598680">
            <w:pPr>
              <w:spacing w:line="360" w:lineRule="auto"/>
              <w:jc w:val="left"/>
              <w:rPr>
                <w:rFonts w:ascii="宋体" w:hAnsi="宋体"/>
                <w:sz w:val="21"/>
                <w:szCs w:val="21"/>
              </w:rPr>
            </w:pPr>
            <w:r>
              <w:rPr>
                <w:rFonts w:hint="eastAsia" w:ascii="宋体" w:hAnsi="宋体"/>
                <w:kern w:val="10"/>
                <w:sz w:val="21"/>
                <w:szCs w:val="21"/>
                <w:lang w:val="en-US" w:eastAsia="zh-CN"/>
              </w:rPr>
              <w:t>注：计算结果保留2位小数</w:t>
            </w:r>
          </w:p>
        </w:tc>
      </w:tr>
      <w:tr w14:paraId="006D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8E859AC">
            <w:pPr>
              <w:spacing w:line="264" w:lineRule="auto"/>
              <w:jc w:val="center"/>
              <w:rPr>
                <w:rFonts w:ascii="宋体" w:hAnsi="宋体"/>
                <w:b/>
                <w:sz w:val="21"/>
                <w:szCs w:val="21"/>
              </w:rPr>
            </w:pPr>
            <w:r>
              <w:rPr>
                <w:rFonts w:hint="eastAsia" w:ascii="宋体" w:hAnsi="宋体"/>
                <w:b/>
                <w:sz w:val="21"/>
                <w:szCs w:val="21"/>
              </w:rPr>
              <w:t>商务部分</w:t>
            </w:r>
            <w:r>
              <w:rPr>
                <w:rFonts w:ascii="宋体" w:hAnsi="宋体"/>
                <w:b/>
                <w:sz w:val="21"/>
                <w:szCs w:val="21"/>
              </w:rPr>
              <w:t>10</w:t>
            </w:r>
            <w:r>
              <w:rPr>
                <w:rFonts w:hint="eastAsia" w:ascii="宋体" w:hAnsi="宋体"/>
                <w:b/>
                <w:sz w:val="21"/>
                <w:szCs w:val="21"/>
              </w:rPr>
              <w:t>分</w:t>
            </w:r>
          </w:p>
        </w:tc>
        <w:tc>
          <w:tcPr>
            <w:tcW w:w="1526" w:type="dxa"/>
            <w:tcBorders>
              <w:top w:val="single" w:color="auto" w:sz="4" w:space="0"/>
              <w:left w:val="single" w:color="auto" w:sz="4" w:space="0"/>
              <w:right w:val="single" w:color="auto" w:sz="4" w:space="0"/>
            </w:tcBorders>
            <w:vAlign w:val="center"/>
          </w:tcPr>
          <w:p w14:paraId="088EF060">
            <w:pPr>
              <w:rPr>
                <w:rFonts w:ascii="宋体" w:hAnsi="宋体"/>
                <w:bCs/>
                <w:sz w:val="21"/>
                <w:szCs w:val="21"/>
              </w:rPr>
            </w:pPr>
            <w:r>
              <w:rPr>
                <w:rFonts w:hint="eastAsia" w:ascii="宋体" w:hAnsi="宋体"/>
                <w:bCs/>
                <w:sz w:val="21"/>
                <w:szCs w:val="21"/>
              </w:rPr>
              <w:t>类似项目业绩（</w:t>
            </w:r>
            <w:r>
              <w:rPr>
                <w:rFonts w:ascii="宋体" w:hAnsi="宋体"/>
                <w:bCs/>
                <w:sz w:val="21"/>
                <w:szCs w:val="21"/>
              </w:rPr>
              <w:t>10</w:t>
            </w:r>
            <w:r>
              <w:rPr>
                <w:rFonts w:hint="eastAsia" w:ascii="宋体" w:hAnsi="宋体"/>
                <w:bCs/>
                <w:sz w:val="21"/>
                <w:szCs w:val="21"/>
              </w:rPr>
              <w:t>分）</w:t>
            </w:r>
          </w:p>
        </w:tc>
        <w:tc>
          <w:tcPr>
            <w:tcW w:w="6520" w:type="dxa"/>
            <w:tcBorders>
              <w:top w:val="single" w:color="auto" w:sz="4" w:space="0"/>
              <w:left w:val="single" w:color="auto" w:sz="4" w:space="0"/>
              <w:right w:val="single" w:color="auto" w:sz="4" w:space="0"/>
            </w:tcBorders>
            <w:vAlign w:val="center"/>
          </w:tcPr>
          <w:p w14:paraId="248B81E7">
            <w:pPr>
              <w:spacing w:line="360" w:lineRule="auto"/>
              <w:rPr>
                <w:rFonts w:hint="eastAsia" w:ascii="宋体" w:hAnsi="宋体"/>
                <w:bCs/>
                <w:sz w:val="21"/>
                <w:szCs w:val="21"/>
              </w:rPr>
            </w:pPr>
            <w:r>
              <w:rPr>
                <w:rFonts w:hint="eastAsia" w:ascii="宋体" w:hAnsi="宋体"/>
                <w:bCs/>
                <w:sz w:val="21"/>
                <w:szCs w:val="21"/>
              </w:rPr>
              <w:t>参选人近3年（20</w:t>
            </w:r>
            <w:r>
              <w:rPr>
                <w:rFonts w:hint="eastAsia" w:ascii="宋体" w:hAnsi="宋体"/>
                <w:bCs/>
                <w:sz w:val="21"/>
                <w:szCs w:val="21"/>
                <w:lang w:val="en-US" w:eastAsia="zh-CN"/>
              </w:rPr>
              <w:t>23</w:t>
            </w:r>
            <w:r>
              <w:rPr>
                <w:rFonts w:hint="eastAsia" w:ascii="宋体" w:hAnsi="宋体"/>
                <w:bCs/>
                <w:sz w:val="21"/>
                <w:szCs w:val="21"/>
              </w:rPr>
              <w:t>年</w:t>
            </w:r>
            <w:r>
              <w:rPr>
                <w:rFonts w:hint="eastAsia" w:ascii="宋体" w:hAnsi="宋体"/>
                <w:bCs/>
                <w:sz w:val="21"/>
                <w:szCs w:val="21"/>
                <w:lang w:val="en-US" w:eastAsia="zh-CN"/>
              </w:rPr>
              <w:t>1</w:t>
            </w:r>
            <w:r>
              <w:rPr>
                <w:rFonts w:hint="eastAsia" w:ascii="宋体" w:hAnsi="宋体"/>
                <w:bCs/>
                <w:sz w:val="21"/>
                <w:szCs w:val="21"/>
              </w:rPr>
              <w:t>月1日至今，以合同签订时间为准），每提供一个类似业绩，得</w:t>
            </w:r>
            <w:r>
              <w:rPr>
                <w:rFonts w:ascii="宋体" w:hAnsi="宋体"/>
                <w:bCs/>
                <w:sz w:val="21"/>
                <w:szCs w:val="21"/>
              </w:rPr>
              <w:t>2</w:t>
            </w:r>
            <w:r>
              <w:rPr>
                <w:rFonts w:hint="eastAsia" w:ascii="宋体" w:hAnsi="宋体"/>
                <w:bCs/>
                <w:sz w:val="21"/>
                <w:szCs w:val="21"/>
              </w:rPr>
              <w:t>分，最高</w:t>
            </w:r>
            <w:r>
              <w:rPr>
                <w:rFonts w:ascii="宋体" w:hAnsi="宋体"/>
                <w:bCs/>
                <w:sz w:val="21"/>
                <w:szCs w:val="21"/>
              </w:rPr>
              <w:t>10</w:t>
            </w:r>
            <w:r>
              <w:rPr>
                <w:rFonts w:hint="eastAsia" w:ascii="宋体" w:hAnsi="宋体"/>
                <w:bCs/>
                <w:sz w:val="21"/>
                <w:szCs w:val="21"/>
              </w:rPr>
              <w:t>分。</w:t>
            </w:r>
          </w:p>
          <w:p w14:paraId="02BB1542">
            <w:pPr>
              <w:spacing w:line="360" w:lineRule="auto"/>
              <w:rPr>
                <w:rFonts w:ascii="宋体" w:hAnsi="宋体"/>
                <w:bCs/>
                <w:sz w:val="21"/>
                <w:szCs w:val="21"/>
              </w:rPr>
            </w:pPr>
            <w:r>
              <w:rPr>
                <w:rFonts w:hint="eastAsia" w:ascii="宋体" w:hAnsi="宋体"/>
                <w:bCs/>
                <w:sz w:val="21"/>
                <w:szCs w:val="21"/>
              </w:rPr>
              <w:t>提供合同关键页（至少包含首页部分、内容部分、签字盖章部分）复印件并加盖公章，否则不得分。</w:t>
            </w:r>
          </w:p>
        </w:tc>
      </w:tr>
      <w:tr w14:paraId="2284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163" w:type="dxa"/>
            <w:vMerge w:val="restart"/>
            <w:tcBorders>
              <w:top w:val="single" w:color="auto" w:sz="4" w:space="0"/>
              <w:left w:val="single" w:color="auto" w:sz="4" w:space="0"/>
              <w:right w:val="single" w:color="auto" w:sz="4" w:space="0"/>
            </w:tcBorders>
            <w:vAlign w:val="center"/>
          </w:tcPr>
          <w:p w14:paraId="527AD296">
            <w:pPr>
              <w:spacing w:line="264" w:lineRule="auto"/>
              <w:jc w:val="center"/>
              <w:rPr>
                <w:rFonts w:ascii="宋体" w:hAnsi="宋体"/>
                <w:b/>
                <w:bCs/>
                <w:sz w:val="21"/>
                <w:szCs w:val="21"/>
              </w:rPr>
            </w:pPr>
            <w:r>
              <w:rPr>
                <w:rFonts w:hint="eastAsia" w:ascii="宋体" w:hAnsi="宋体"/>
                <w:b/>
                <w:bCs/>
                <w:sz w:val="21"/>
                <w:szCs w:val="21"/>
              </w:rPr>
              <w:t>服务组织实施方案</w:t>
            </w:r>
            <w:r>
              <w:rPr>
                <w:rFonts w:ascii="宋体" w:hAnsi="宋体"/>
                <w:b/>
                <w:bCs/>
                <w:sz w:val="21"/>
                <w:szCs w:val="21"/>
              </w:rPr>
              <w:t>8</w:t>
            </w:r>
            <w:r>
              <w:rPr>
                <w:rFonts w:hint="eastAsia" w:ascii="宋体" w:hAnsi="宋体"/>
                <w:b/>
                <w:bCs/>
                <w:sz w:val="21"/>
                <w:szCs w:val="21"/>
              </w:rPr>
              <w:t>0分</w:t>
            </w:r>
          </w:p>
        </w:tc>
        <w:tc>
          <w:tcPr>
            <w:tcW w:w="1526" w:type="dxa"/>
            <w:tcBorders>
              <w:top w:val="single" w:color="auto" w:sz="4" w:space="0"/>
              <w:left w:val="single" w:color="auto" w:sz="4" w:space="0"/>
              <w:right w:val="single" w:color="auto" w:sz="4" w:space="0"/>
            </w:tcBorders>
            <w:vAlign w:val="center"/>
          </w:tcPr>
          <w:p w14:paraId="426182DE">
            <w:pPr>
              <w:jc w:val="center"/>
              <w:rPr>
                <w:rFonts w:ascii="宋体" w:hAnsi="宋体"/>
                <w:bCs/>
                <w:sz w:val="21"/>
                <w:szCs w:val="21"/>
              </w:rPr>
            </w:pPr>
            <w:r>
              <w:rPr>
                <w:rFonts w:hint="eastAsia" w:ascii="宋体" w:hAnsi="宋体"/>
                <w:color w:val="000000"/>
                <w:kern w:val="0"/>
                <w:sz w:val="21"/>
                <w:szCs w:val="21"/>
              </w:rPr>
              <w:t>项目需求理解（1</w:t>
            </w:r>
            <w:r>
              <w:rPr>
                <w:rFonts w:ascii="宋体" w:hAnsi="宋体"/>
                <w:color w:val="000000"/>
                <w:kern w:val="0"/>
                <w:sz w:val="21"/>
                <w:szCs w:val="21"/>
              </w:rPr>
              <w:t>5分</w:t>
            </w:r>
            <w:r>
              <w:rPr>
                <w:rFonts w:hint="eastAsia" w:ascii="宋体" w:hAnsi="宋体"/>
                <w:color w:val="000000"/>
                <w:kern w:val="0"/>
                <w:sz w:val="21"/>
                <w:szCs w:val="21"/>
              </w:rPr>
              <w:t>）</w:t>
            </w:r>
          </w:p>
        </w:tc>
        <w:tc>
          <w:tcPr>
            <w:tcW w:w="6520" w:type="dxa"/>
            <w:tcBorders>
              <w:top w:val="single" w:color="auto" w:sz="4" w:space="0"/>
              <w:left w:val="single" w:color="auto" w:sz="4" w:space="0"/>
              <w:right w:val="single" w:color="auto" w:sz="4" w:space="0"/>
            </w:tcBorders>
            <w:vAlign w:val="center"/>
          </w:tcPr>
          <w:p w14:paraId="4728EB67">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提出全面、准确的需求分析，给出独到、深刻、可行的见解和建议,得12-15分；</w:t>
            </w:r>
          </w:p>
          <w:p w14:paraId="6EB5C495">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给出较为合理且可行的见解和建议，得8-11分；</w:t>
            </w:r>
          </w:p>
          <w:p w14:paraId="16D77BFB">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给出一般性且可行的见解和建议，得4-7分；</w:t>
            </w:r>
          </w:p>
          <w:p w14:paraId="42E0638F">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给出的见解和建议基本不可行，得</w:t>
            </w:r>
            <w:r>
              <w:rPr>
                <w:rFonts w:hint="eastAsia" w:ascii="宋体" w:hAnsi="宋体"/>
                <w:color w:val="000000"/>
                <w:kern w:val="0"/>
                <w:sz w:val="21"/>
                <w:szCs w:val="21"/>
                <w:lang w:val="en-US" w:eastAsia="zh-CN"/>
              </w:rPr>
              <w:t>0</w:t>
            </w:r>
            <w:r>
              <w:rPr>
                <w:rFonts w:hint="eastAsia" w:ascii="宋体" w:hAnsi="宋体"/>
                <w:color w:val="000000"/>
                <w:kern w:val="0"/>
                <w:sz w:val="21"/>
                <w:szCs w:val="21"/>
              </w:rPr>
              <w:t>-3分；</w:t>
            </w:r>
          </w:p>
          <w:p w14:paraId="4E83E79E">
            <w:pPr>
              <w:widowControl/>
              <w:spacing w:line="360" w:lineRule="auto"/>
              <w:jc w:val="left"/>
              <w:rPr>
                <w:rFonts w:ascii="宋体" w:hAnsi="宋体"/>
                <w:sz w:val="21"/>
                <w:szCs w:val="21"/>
              </w:rPr>
            </w:pPr>
            <w:r>
              <w:rPr>
                <w:rFonts w:hint="eastAsia" w:ascii="宋体" w:hAnsi="宋体"/>
                <w:color w:val="000000"/>
                <w:kern w:val="0"/>
                <w:sz w:val="21"/>
                <w:szCs w:val="21"/>
              </w:rPr>
              <w:t>无项目需求理解，不得分。</w:t>
            </w:r>
          </w:p>
        </w:tc>
      </w:tr>
      <w:tr w14:paraId="105D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1163" w:type="dxa"/>
            <w:vMerge w:val="continue"/>
            <w:tcBorders>
              <w:left w:val="single" w:color="auto" w:sz="4" w:space="0"/>
              <w:right w:val="single" w:color="auto" w:sz="4" w:space="0"/>
            </w:tcBorders>
            <w:vAlign w:val="center"/>
          </w:tcPr>
          <w:p w14:paraId="34D42ED9">
            <w:pPr>
              <w:widowControl/>
              <w:jc w:val="left"/>
              <w:rPr>
                <w:rFonts w:ascii="宋体" w:hAnsi="宋体"/>
                <w:b/>
                <w:bCs/>
                <w:sz w:val="21"/>
                <w:szCs w:val="21"/>
              </w:rPr>
            </w:pPr>
          </w:p>
        </w:tc>
        <w:tc>
          <w:tcPr>
            <w:tcW w:w="1526" w:type="dxa"/>
            <w:tcBorders>
              <w:left w:val="single" w:color="auto" w:sz="4" w:space="0"/>
              <w:right w:val="single" w:color="auto" w:sz="4" w:space="0"/>
            </w:tcBorders>
            <w:vAlign w:val="center"/>
          </w:tcPr>
          <w:p w14:paraId="65D062ED">
            <w:pPr>
              <w:jc w:val="center"/>
              <w:rPr>
                <w:rFonts w:ascii="宋体" w:hAnsi="宋体"/>
                <w:color w:val="000000"/>
                <w:kern w:val="0"/>
                <w:sz w:val="21"/>
                <w:szCs w:val="21"/>
              </w:rPr>
            </w:pPr>
            <w:r>
              <w:rPr>
                <w:rFonts w:hint="eastAsia" w:ascii="宋体" w:hAnsi="宋体"/>
                <w:color w:val="000000"/>
                <w:kern w:val="0"/>
                <w:sz w:val="21"/>
                <w:szCs w:val="21"/>
              </w:rPr>
              <w:t>服务方案</w:t>
            </w:r>
          </w:p>
          <w:p w14:paraId="3843B276">
            <w:pPr>
              <w:jc w:val="center"/>
              <w:rPr>
                <w:rFonts w:ascii="宋体" w:hAnsi="宋体"/>
                <w:bCs/>
                <w:sz w:val="21"/>
                <w:szCs w:val="21"/>
              </w:rPr>
            </w:pPr>
            <w:r>
              <w:rPr>
                <w:rFonts w:ascii="宋体" w:hAnsi="宋体"/>
                <w:color w:val="000000"/>
                <w:kern w:val="0"/>
                <w:sz w:val="21"/>
                <w:szCs w:val="21"/>
              </w:rPr>
              <w:t>（</w:t>
            </w:r>
            <w:r>
              <w:rPr>
                <w:rFonts w:hint="eastAsia" w:ascii="宋体" w:hAnsi="宋体"/>
                <w:color w:val="000000"/>
                <w:kern w:val="0"/>
                <w:sz w:val="21"/>
                <w:szCs w:val="21"/>
              </w:rPr>
              <w:t>2</w:t>
            </w:r>
            <w:r>
              <w:rPr>
                <w:rFonts w:ascii="宋体" w:hAnsi="宋体"/>
                <w:color w:val="000000"/>
                <w:kern w:val="0"/>
                <w:sz w:val="21"/>
                <w:szCs w:val="21"/>
              </w:rPr>
              <w:t>0分）</w:t>
            </w:r>
          </w:p>
        </w:tc>
        <w:tc>
          <w:tcPr>
            <w:tcW w:w="6520" w:type="dxa"/>
            <w:tcBorders>
              <w:left w:val="single" w:color="auto" w:sz="4" w:space="0"/>
              <w:right w:val="single" w:color="auto" w:sz="4" w:space="0"/>
            </w:tcBorders>
            <w:vAlign w:val="center"/>
          </w:tcPr>
          <w:p w14:paraId="6A5275D8">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服务方案内容全面、完整、详细、针对性强，可实施性强，得1</w:t>
            </w:r>
            <w:r>
              <w:rPr>
                <w:rFonts w:hint="eastAsia" w:ascii="宋体" w:hAnsi="宋体"/>
                <w:color w:val="000000"/>
                <w:kern w:val="0"/>
                <w:sz w:val="21"/>
                <w:szCs w:val="21"/>
                <w:lang w:val="en-US" w:eastAsia="zh-CN"/>
              </w:rPr>
              <w:t>6</w:t>
            </w:r>
            <w:r>
              <w:rPr>
                <w:rFonts w:hint="eastAsia" w:ascii="宋体" w:hAnsi="宋体"/>
                <w:color w:val="000000"/>
                <w:kern w:val="0"/>
                <w:sz w:val="21"/>
                <w:szCs w:val="21"/>
              </w:rPr>
              <w:t>-20分；</w:t>
            </w:r>
          </w:p>
          <w:p w14:paraId="76737488">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服务方案内容全面、完整、较详细、有针对性，可实施性较强，得1</w:t>
            </w:r>
            <w:r>
              <w:rPr>
                <w:rFonts w:hint="eastAsia" w:ascii="宋体" w:hAnsi="宋体"/>
                <w:color w:val="000000"/>
                <w:kern w:val="0"/>
                <w:sz w:val="21"/>
                <w:szCs w:val="21"/>
                <w:lang w:val="en-US" w:eastAsia="zh-CN"/>
              </w:rPr>
              <w:t>1</w:t>
            </w:r>
            <w:r>
              <w:rPr>
                <w:rFonts w:hint="eastAsia" w:ascii="宋体" w:hAnsi="宋体"/>
                <w:color w:val="000000"/>
                <w:kern w:val="0"/>
                <w:sz w:val="21"/>
                <w:szCs w:val="21"/>
              </w:rPr>
              <w:t>-1</w:t>
            </w:r>
            <w:r>
              <w:rPr>
                <w:rFonts w:hint="eastAsia" w:ascii="宋体" w:hAnsi="宋体"/>
                <w:color w:val="000000"/>
                <w:kern w:val="0"/>
                <w:sz w:val="21"/>
                <w:szCs w:val="21"/>
                <w:lang w:val="en-US" w:eastAsia="zh-CN"/>
              </w:rPr>
              <w:t>5</w:t>
            </w:r>
            <w:r>
              <w:rPr>
                <w:rFonts w:hint="eastAsia" w:ascii="宋体" w:hAnsi="宋体"/>
                <w:color w:val="000000"/>
                <w:kern w:val="0"/>
                <w:sz w:val="21"/>
                <w:szCs w:val="21"/>
              </w:rPr>
              <w:t>分；</w:t>
            </w:r>
          </w:p>
          <w:p w14:paraId="18AFA2A6">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服务方案内容较全面、较完整、较详细、有针对性，基本可实施，得</w:t>
            </w:r>
            <w:r>
              <w:rPr>
                <w:rFonts w:hint="eastAsia" w:ascii="宋体" w:hAnsi="宋体"/>
                <w:color w:val="000000"/>
                <w:kern w:val="0"/>
                <w:sz w:val="21"/>
                <w:szCs w:val="21"/>
                <w:lang w:val="en-US" w:eastAsia="zh-CN"/>
              </w:rPr>
              <w:t>6</w:t>
            </w:r>
            <w:r>
              <w:rPr>
                <w:rFonts w:hint="eastAsia" w:ascii="宋体" w:hAnsi="宋体"/>
                <w:color w:val="000000"/>
                <w:kern w:val="0"/>
                <w:sz w:val="21"/>
                <w:szCs w:val="21"/>
              </w:rPr>
              <w:t>-1</w:t>
            </w:r>
            <w:r>
              <w:rPr>
                <w:rFonts w:hint="eastAsia" w:ascii="宋体" w:hAnsi="宋体"/>
                <w:color w:val="000000"/>
                <w:kern w:val="0"/>
                <w:sz w:val="21"/>
                <w:szCs w:val="21"/>
                <w:lang w:val="en-US" w:eastAsia="zh-CN"/>
              </w:rPr>
              <w:t>0</w:t>
            </w:r>
            <w:r>
              <w:rPr>
                <w:rFonts w:hint="eastAsia" w:ascii="宋体" w:hAnsi="宋体"/>
                <w:color w:val="000000"/>
                <w:kern w:val="0"/>
                <w:sz w:val="21"/>
                <w:szCs w:val="21"/>
              </w:rPr>
              <w:t>分；</w:t>
            </w:r>
          </w:p>
          <w:p w14:paraId="0846CDD2">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服务方案内容有欠缺，有一定的针对性和可行性，得</w:t>
            </w:r>
            <w:r>
              <w:rPr>
                <w:rFonts w:hint="eastAsia" w:ascii="宋体" w:hAnsi="宋体"/>
                <w:color w:val="000000"/>
                <w:kern w:val="0"/>
                <w:sz w:val="21"/>
                <w:szCs w:val="21"/>
                <w:lang w:val="en-US" w:eastAsia="zh-CN"/>
              </w:rPr>
              <w:t>0</w:t>
            </w:r>
            <w:r>
              <w:rPr>
                <w:rFonts w:hint="eastAsia" w:ascii="宋体" w:hAnsi="宋体"/>
                <w:color w:val="000000"/>
                <w:kern w:val="0"/>
                <w:sz w:val="21"/>
                <w:szCs w:val="21"/>
              </w:rPr>
              <w:t>-</w:t>
            </w:r>
            <w:r>
              <w:rPr>
                <w:rFonts w:hint="eastAsia" w:ascii="宋体" w:hAnsi="宋体"/>
                <w:color w:val="000000"/>
                <w:kern w:val="0"/>
                <w:sz w:val="21"/>
                <w:szCs w:val="21"/>
                <w:lang w:val="en-US" w:eastAsia="zh-CN"/>
              </w:rPr>
              <w:t>5</w:t>
            </w:r>
            <w:r>
              <w:rPr>
                <w:rFonts w:hint="eastAsia" w:ascii="宋体" w:hAnsi="宋体"/>
                <w:color w:val="000000"/>
                <w:kern w:val="0"/>
                <w:sz w:val="21"/>
                <w:szCs w:val="21"/>
              </w:rPr>
              <w:t>分；</w:t>
            </w:r>
          </w:p>
          <w:p w14:paraId="7B26E46E">
            <w:pPr>
              <w:widowControl/>
              <w:spacing w:line="360" w:lineRule="auto"/>
              <w:jc w:val="left"/>
              <w:rPr>
                <w:rFonts w:ascii="宋体" w:hAnsi="宋体"/>
                <w:sz w:val="21"/>
                <w:szCs w:val="21"/>
              </w:rPr>
            </w:pPr>
            <w:r>
              <w:rPr>
                <w:rFonts w:hint="eastAsia" w:ascii="宋体" w:hAnsi="宋体"/>
                <w:color w:val="000000"/>
                <w:kern w:val="0"/>
                <w:sz w:val="21"/>
                <w:szCs w:val="21"/>
              </w:rPr>
              <w:t>没有提供服务方案，得0分。</w:t>
            </w:r>
          </w:p>
        </w:tc>
      </w:tr>
      <w:tr w14:paraId="7210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163" w:type="dxa"/>
            <w:vMerge w:val="continue"/>
            <w:tcBorders>
              <w:left w:val="single" w:color="auto" w:sz="4" w:space="0"/>
              <w:right w:val="single" w:color="auto" w:sz="4" w:space="0"/>
            </w:tcBorders>
            <w:vAlign w:val="center"/>
          </w:tcPr>
          <w:p w14:paraId="345B4EBD">
            <w:pPr>
              <w:widowControl/>
              <w:jc w:val="left"/>
              <w:rPr>
                <w:rFonts w:ascii="宋体" w:hAnsi="宋体"/>
                <w:b/>
                <w:bCs/>
                <w:sz w:val="21"/>
                <w:szCs w:val="21"/>
              </w:rPr>
            </w:pPr>
          </w:p>
        </w:tc>
        <w:tc>
          <w:tcPr>
            <w:tcW w:w="1526" w:type="dxa"/>
            <w:tcBorders>
              <w:left w:val="single" w:color="auto" w:sz="4" w:space="0"/>
              <w:right w:val="single" w:color="auto" w:sz="4" w:space="0"/>
            </w:tcBorders>
            <w:vAlign w:val="center"/>
          </w:tcPr>
          <w:p w14:paraId="36E6E29A">
            <w:pPr>
              <w:jc w:val="center"/>
              <w:rPr>
                <w:rFonts w:ascii="宋体" w:hAnsi="宋体" w:cs="宋体"/>
                <w:sz w:val="21"/>
                <w:szCs w:val="21"/>
              </w:rPr>
            </w:pPr>
            <w:r>
              <w:rPr>
                <w:rFonts w:hint="eastAsia" w:ascii="宋体" w:hAnsi="宋体" w:cs="宋体"/>
                <w:sz w:val="21"/>
                <w:szCs w:val="21"/>
              </w:rPr>
              <w:t>工作程序</w:t>
            </w:r>
          </w:p>
          <w:p w14:paraId="02E35AA9">
            <w:pPr>
              <w:jc w:val="center"/>
              <w:rPr>
                <w:rFonts w:ascii="宋体" w:hAnsi="宋体"/>
                <w:color w:val="000000"/>
                <w:kern w:val="0"/>
                <w:sz w:val="21"/>
                <w:szCs w:val="21"/>
              </w:rPr>
            </w:pPr>
            <w:r>
              <w:rPr>
                <w:rFonts w:ascii="宋体" w:hAnsi="宋体"/>
                <w:color w:val="000000"/>
                <w:kern w:val="0"/>
                <w:sz w:val="21"/>
                <w:szCs w:val="21"/>
              </w:rPr>
              <w:t>（</w:t>
            </w:r>
            <w:r>
              <w:rPr>
                <w:rFonts w:hint="eastAsia" w:ascii="宋体" w:hAnsi="宋体"/>
                <w:color w:val="000000"/>
                <w:kern w:val="0"/>
                <w:sz w:val="21"/>
                <w:szCs w:val="21"/>
              </w:rPr>
              <w:t>1</w:t>
            </w:r>
            <w:r>
              <w:rPr>
                <w:rFonts w:ascii="宋体" w:hAnsi="宋体"/>
                <w:color w:val="000000"/>
                <w:kern w:val="0"/>
                <w:sz w:val="21"/>
                <w:szCs w:val="21"/>
              </w:rPr>
              <w:t>5分）</w:t>
            </w:r>
          </w:p>
        </w:tc>
        <w:tc>
          <w:tcPr>
            <w:tcW w:w="6520" w:type="dxa"/>
            <w:tcBorders>
              <w:left w:val="single" w:color="auto" w:sz="4" w:space="0"/>
              <w:right w:val="single" w:color="auto" w:sz="4" w:space="0"/>
            </w:tcBorders>
            <w:vAlign w:val="center"/>
          </w:tcPr>
          <w:p w14:paraId="20DA7F08">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工作程序科学性、合理性、针对性及可操作性强，得12-15分；</w:t>
            </w:r>
          </w:p>
          <w:p w14:paraId="60D0078C">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工作程序科学性、合理性、针对性及可操作性较好，得8-11分；</w:t>
            </w:r>
          </w:p>
          <w:p w14:paraId="44B80B35">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工作程序科学性、合理性、针对性及可操作一般，得4-7分；</w:t>
            </w:r>
          </w:p>
          <w:p w14:paraId="3D2F48DE">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工作程序科学性、合理性、针对性及可操作性差，得</w:t>
            </w:r>
            <w:r>
              <w:rPr>
                <w:rFonts w:hint="eastAsia" w:ascii="宋体" w:hAnsi="宋体"/>
                <w:color w:val="000000"/>
                <w:kern w:val="0"/>
                <w:sz w:val="21"/>
                <w:szCs w:val="21"/>
                <w:lang w:val="en-US" w:eastAsia="zh-CN"/>
              </w:rPr>
              <w:t>0</w:t>
            </w:r>
            <w:r>
              <w:rPr>
                <w:rFonts w:hint="eastAsia" w:ascii="宋体" w:hAnsi="宋体"/>
                <w:color w:val="000000"/>
                <w:kern w:val="0"/>
                <w:sz w:val="21"/>
                <w:szCs w:val="21"/>
              </w:rPr>
              <w:t>-3分；</w:t>
            </w:r>
          </w:p>
          <w:p w14:paraId="40040DAA">
            <w:pPr>
              <w:widowControl/>
              <w:spacing w:line="360" w:lineRule="auto"/>
              <w:jc w:val="left"/>
              <w:rPr>
                <w:rFonts w:ascii="宋体" w:hAnsi="宋体"/>
                <w:sz w:val="21"/>
                <w:szCs w:val="21"/>
              </w:rPr>
            </w:pPr>
            <w:r>
              <w:rPr>
                <w:rFonts w:hint="eastAsia" w:ascii="宋体" w:hAnsi="宋体"/>
                <w:color w:val="000000"/>
                <w:kern w:val="0"/>
                <w:sz w:val="21"/>
                <w:szCs w:val="21"/>
              </w:rPr>
              <w:t>不提供不得分。</w:t>
            </w:r>
          </w:p>
        </w:tc>
      </w:tr>
      <w:tr w14:paraId="70A2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63" w:type="dxa"/>
            <w:vMerge w:val="continue"/>
            <w:tcBorders>
              <w:left w:val="single" w:color="auto" w:sz="4" w:space="0"/>
              <w:right w:val="single" w:color="auto" w:sz="4" w:space="0"/>
            </w:tcBorders>
            <w:vAlign w:val="center"/>
          </w:tcPr>
          <w:p w14:paraId="3BA27583">
            <w:pPr>
              <w:widowControl/>
              <w:jc w:val="left"/>
              <w:rPr>
                <w:rFonts w:ascii="宋体" w:hAnsi="宋体"/>
                <w:b/>
                <w:bCs/>
                <w:sz w:val="21"/>
                <w:szCs w:val="21"/>
              </w:rPr>
            </w:pPr>
          </w:p>
        </w:tc>
        <w:tc>
          <w:tcPr>
            <w:tcW w:w="1526" w:type="dxa"/>
            <w:tcBorders>
              <w:left w:val="single" w:color="auto" w:sz="4" w:space="0"/>
              <w:right w:val="single" w:color="auto" w:sz="4" w:space="0"/>
            </w:tcBorders>
            <w:vAlign w:val="center"/>
          </w:tcPr>
          <w:p w14:paraId="733C37EC">
            <w:pPr>
              <w:widowControl/>
              <w:spacing w:line="360" w:lineRule="auto"/>
              <w:jc w:val="center"/>
              <w:rPr>
                <w:rFonts w:ascii="宋体" w:hAnsi="宋体"/>
                <w:color w:val="000000"/>
                <w:kern w:val="0"/>
                <w:sz w:val="21"/>
                <w:szCs w:val="21"/>
              </w:rPr>
            </w:pPr>
            <w:r>
              <w:rPr>
                <w:rFonts w:hint="eastAsia" w:ascii="宋体" w:hAnsi="宋体"/>
                <w:color w:val="000000"/>
                <w:kern w:val="0"/>
                <w:sz w:val="21"/>
                <w:szCs w:val="21"/>
              </w:rPr>
              <w:t>人员配备</w:t>
            </w:r>
          </w:p>
          <w:p w14:paraId="55ED0E7B">
            <w:pPr>
              <w:widowControl/>
              <w:spacing w:line="360" w:lineRule="auto"/>
              <w:jc w:val="center"/>
              <w:rPr>
                <w:rFonts w:ascii="宋体" w:hAnsi="宋体"/>
                <w:color w:val="000000"/>
                <w:kern w:val="0"/>
                <w:sz w:val="21"/>
                <w:szCs w:val="21"/>
              </w:rPr>
            </w:pPr>
            <w:r>
              <w:rPr>
                <w:rFonts w:ascii="宋体" w:hAnsi="宋体"/>
                <w:color w:val="000000"/>
                <w:kern w:val="0"/>
                <w:sz w:val="21"/>
                <w:szCs w:val="21"/>
              </w:rPr>
              <w:t>（</w:t>
            </w:r>
            <w:r>
              <w:rPr>
                <w:rFonts w:hint="eastAsia" w:ascii="宋体" w:hAnsi="宋体"/>
                <w:color w:val="000000"/>
                <w:kern w:val="0"/>
                <w:sz w:val="21"/>
                <w:szCs w:val="21"/>
              </w:rPr>
              <w:t>1</w:t>
            </w:r>
            <w:r>
              <w:rPr>
                <w:rFonts w:ascii="宋体" w:hAnsi="宋体"/>
                <w:color w:val="000000"/>
                <w:kern w:val="0"/>
                <w:sz w:val="21"/>
                <w:szCs w:val="21"/>
              </w:rPr>
              <w:t>0分）</w:t>
            </w:r>
          </w:p>
        </w:tc>
        <w:tc>
          <w:tcPr>
            <w:tcW w:w="6520" w:type="dxa"/>
            <w:tcBorders>
              <w:left w:val="single" w:color="auto" w:sz="4" w:space="0"/>
              <w:right w:val="single" w:color="auto" w:sz="4" w:space="0"/>
            </w:tcBorders>
            <w:vAlign w:val="center"/>
          </w:tcPr>
          <w:p w14:paraId="38F64FAD">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人员配备数量充足合理、完全满足采购人实际需求得8-10分;</w:t>
            </w:r>
          </w:p>
          <w:p w14:paraId="7F3FAE08">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人员配备数量较合理、较能满足采购人实际需求的得5-7分；</w:t>
            </w:r>
          </w:p>
          <w:p w14:paraId="020570C2">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人员配备数量一般合理、一般满足采购人实际需求的得2-4分；</w:t>
            </w:r>
          </w:p>
          <w:p w14:paraId="3179FD71">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人员配备数量基本满足采购人需求，得1分；</w:t>
            </w:r>
          </w:p>
          <w:p w14:paraId="1B234787">
            <w:pPr>
              <w:widowControl/>
              <w:spacing w:line="360" w:lineRule="auto"/>
              <w:jc w:val="left"/>
              <w:rPr>
                <w:rFonts w:ascii="宋体" w:hAnsi="宋体"/>
                <w:color w:val="000000"/>
                <w:kern w:val="0"/>
                <w:sz w:val="21"/>
                <w:szCs w:val="21"/>
              </w:rPr>
            </w:pPr>
            <w:r>
              <w:rPr>
                <w:rFonts w:hint="eastAsia" w:ascii="宋体" w:hAnsi="宋体"/>
                <w:color w:val="000000"/>
                <w:kern w:val="0"/>
                <w:sz w:val="21"/>
                <w:szCs w:val="21"/>
              </w:rPr>
              <w:t>无方案不得分。</w:t>
            </w:r>
          </w:p>
        </w:tc>
      </w:tr>
      <w:tr w14:paraId="02C2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63" w:type="dxa"/>
            <w:vMerge w:val="continue"/>
            <w:tcBorders>
              <w:left w:val="single" w:color="auto" w:sz="4" w:space="0"/>
              <w:right w:val="single" w:color="auto" w:sz="4" w:space="0"/>
            </w:tcBorders>
            <w:vAlign w:val="center"/>
          </w:tcPr>
          <w:p w14:paraId="4E883259">
            <w:pPr>
              <w:widowControl/>
              <w:jc w:val="left"/>
              <w:rPr>
                <w:rFonts w:ascii="宋体" w:hAnsi="宋体"/>
                <w:b/>
                <w:bCs/>
                <w:sz w:val="24"/>
                <w:szCs w:val="24"/>
              </w:rPr>
            </w:pPr>
          </w:p>
        </w:tc>
        <w:tc>
          <w:tcPr>
            <w:tcW w:w="1526" w:type="dxa"/>
            <w:tcBorders>
              <w:left w:val="single" w:color="auto" w:sz="4" w:space="0"/>
              <w:right w:val="single" w:color="auto" w:sz="4" w:space="0"/>
            </w:tcBorders>
            <w:vAlign w:val="center"/>
          </w:tcPr>
          <w:p w14:paraId="3863651C">
            <w:pPr>
              <w:widowControl/>
              <w:spacing w:line="360" w:lineRule="auto"/>
              <w:jc w:val="center"/>
              <w:rPr>
                <w:rFonts w:ascii="宋体" w:hAnsi="宋体" w:cs="宋体"/>
                <w:sz w:val="21"/>
                <w:szCs w:val="21"/>
              </w:rPr>
            </w:pPr>
            <w:r>
              <w:rPr>
                <w:rFonts w:hint="eastAsia" w:ascii="宋体" w:hAnsi="宋体" w:cs="宋体"/>
                <w:sz w:val="21"/>
                <w:szCs w:val="21"/>
              </w:rPr>
              <w:t>服务质量控制方案</w:t>
            </w:r>
          </w:p>
          <w:p w14:paraId="77E8C03A">
            <w:pPr>
              <w:widowControl/>
              <w:spacing w:line="360" w:lineRule="auto"/>
              <w:jc w:val="center"/>
              <w:rPr>
                <w:rFonts w:ascii="宋体" w:hAnsi="宋体"/>
                <w:sz w:val="21"/>
                <w:szCs w:val="21"/>
              </w:rPr>
            </w:pPr>
            <w:r>
              <w:rPr>
                <w:rFonts w:hint="eastAsia" w:ascii="宋体" w:hAnsi="宋体" w:cs="宋体"/>
                <w:sz w:val="21"/>
                <w:szCs w:val="21"/>
              </w:rPr>
              <w:t>（1</w:t>
            </w:r>
            <w:r>
              <w:rPr>
                <w:rFonts w:ascii="宋体" w:hAnsi="宋体" w:cs="宋体"/>
                <w:sz w:val="21"/>
                <w:szCs w:val="21"/>
              </w:rPr>
              <w:t>0分</w:t>
            </w:r>
            <w:r>
              <w:rPr>
                <w:rFonts w:hint="eastAsia" w:ascii="宋体" w:hAnsi="宋体" w:cs="宋体"/>
                <w:sz w:val="21"/>
                <w:szCs w:val="21"/>
              </w:rPr>
              <w:t>）</w:t>
            </w:r>
          </w:p>
        </w:tc>
        <w:tc>
          <w:tcPr>
            <w:tcW w:w="6520" w:type="dxa"/>
            <w:tcBorders>
              <w:left w:val="single" w:color="auto" w:sz="4" w:space="0"/>
              <w:right w:val="single" w:color="auto" w:sz="4" w:space="0"/>
            </w:tcBorders>
            <w:vAlign w:val="center"/>
          </w:tcPr>
          <w:p w14:paraId="5632F488">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服务质量控制方案完善、详细、可操作性强、针对性强，得8-10分；</w:t>
            </w:r>
          </w:p>
          <w:p w14:paraId="56E27013">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服务质量控制方案较完善、可操作性较强、针对性较强，得5-7分；</w:t>
            </w:r>
          </w:p>
          <w:p w14:paraId="0DF249B7">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服务质量控制方案有缺漏、可操作性一般、针对性一般，得2-4分；</w:t>
            </w:r>
          </w:p>
          <w:p w14:paraId="60E5D51E">
            <w:pPr>
              <w:widowControl/>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服务质量控制方案有缺漏、可操作性较差、针对性较差，得1分；</w:t>
            </w:r>
          </w:p>
          <w:p w14:paraId="0BEF7F60">
            <w:pPr>
              <w:widowControl/>
              <w:spacing w:line="360" w:lineRule="auto"/>
              <w:jc w:val="left"/>
              <w:rPr>
                <w:rFonts w:hint="default" w:eastAsia="宋体"/>
                <w:sz w:val="21"/>
                <w:szCs w:val="21"/>
                <w:lang w:val="en-US" w:eastAsia="zh-CN"/>
              </w:rPr>
            </w:pPr>
            <w:r>
              <w:rPr>
                <w:rFonts w:hint="eastAsia" w:ascii="宋体" w:hAnsi="宋体"/>
                <w:color w:val="000000"/>
                <w:kern w:val="0"/>
                <w:sz w:val="21"/>
                <w:szCs w:val="21"/>
                <w:lang w:val="en-US" w:eastAsia="zh-CN"/>
              </w:rPr>
              <w:t>无方案不得分。</w:t>
            </w:r>
          </w:p>
        </w:tc>
      </w:tr>
      <w:tr w14:paraId="0719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163" w:type="dxa"/>
            <w:vMerge w:val="continue"/>
            <w:tcBorders>
              <w:left w:val="single" w:color="auto" w:sz="4" w:space="0"/>
              <w:right w:val="single" w:color="auto" w:sz="4" w:space="0"/>
            </w:tcBorders>
            <w:vAlign w:val="center"/>
          </w:tcPr>
          <w:p w14:paraId="45BE2AF6">
            <w:pPr>
              <w:widowControl/>
              <w:jc w:val="left"/>
              <w:rPr>
                <w:rFonts w:ascii="宋体" w:hAnsi="宋体"/>
                <w:b/>
                <w:bCs/>
                <w:sz w:val="24"/>
                <w:szCs w:val="24"/>
              </w:rPr>
            </w:pPr>
          </w:p>
        </w:tc>
        <w:tc>
          <w:tcPr>
            <w:tcW w:w="1526" w:type="dxa"/>
            <w:tcBorders>
              <w:left w:val="single" w:color="auto" w:sz="4" w:space="0"/>
              <w:right w:val="single" w:color="auto" w:sz="4" w:space="0"/>
            </w:tcBorders>
            <w:vAlign w:val="center"/>
          </w:tcPr>
          <w:p w14:paraId="1450C2CB">
            <w:pPr>
              <w:widowControl/>
              <w:spacing w:line="360" w:lineRule="auto"/>
              <w:jc w:val="center"/>
              <w:rPr>
                <w:rFonts w:ascii="宋体" w:hAnsi="宋体"/>
                <w:sz w:val="21"/>
                <w:szCs w:val="21"/>
              </w:rPr>
            </w:pPr>
            <w:r>
              <w:rPr>
                <w:rFonts w:hint="eastAsia" w:ascii="宋体" w:hAnsi="宋体"/>
                <w:sz w:val="21"/>
                <w:szCs w:val="21"/>
              </w:rPr>
              <w:t>服务进度</w:t>
            </w:r>
            <w:r>
              <w:rPr>
                <w:rFonts w:hint="eastAsia" w:ascii="宋体" w:hAnsi="宋体"/>
                <w:sz w:val="21"/>
                <w:szCs w:val="21"/>
                <w:lang w:val="en-US" w:eastAsia="zh-CN"/>
              </w:rPr>
              <w:t>计划</w:t>
            </w:r>
            <w:r>
              <w:rPr>
                <w:rFonts w:hint="eastAsia" w:ascii="宋体" w:hAnsi="宋体"/>
                <w:sz w:val="21"/>
                <w:szCs w:val="21"/>
              </w:rPr>
              <w:t>方案</w:t>
            </w:r>
          </w:p>
          <w:p w14:paraId="23C57398">
            <w:pPr>
              <w:widowControl/>
              <w:spacing w:line="360" w:lineRule="auto"/>
              <w:jc w:val="center"/>
              <w:rPr>
                <w:rFonts w:ascii="宋体" w:hAnsi="宋体"/>
                <w:sz w:val="21"/>
                <w:szCs w:val="21"/>
              </w:rPr>
            </w:pPr>
            <w:r>
              <w:rPr>
                <w:rFonts w:ascii="宋体" w:hAnsi="宋体"/>
                <w:sz w:val="21"/>
                <w:szCs w:val="21"/>
              </w:rPr>
              <w:t>（10分）</w:t>
            </w:r>
          </w:p>
        </w:tc>
        <w:tc>
          <w:tcPr>
            <w:tcW w:w="6520" w:type="dxa"/>
            <w:tcBorders>
              <w:left w:val="single" w:color="auto" w:sz="4" w:space="0"/>
              <w:right w:val="single" w:color="auto" w:sz="4" w:space="0"/>
            </w:tcBorders>
            <w:vAlign w:val="center"/>
          </w:tcPr>
          <w:p w14:paraId="247970F0">
            <w:pPr>
              <w:widowControl/>
              <w:autoSpaceDE w:val="0"/>
              <w:spacing w:before="48" w:beforeLines="20" w:after="48" w:afterLines="20"/>
              <w:rPr>
                <w:rFonts w:ascii="宋体" w:hAnsi="宋体" w:cs="宋体"/>
                <w:sz w:val="21"/>
                <w:szCs w:val="21"/>
              </w:rPr>
            </w:pPr>
            <w:r>
              <w:rPr>
                <w:rFonts w:hint="eastAsia" w:ascii="宋体" w:hAnsi="宋体" w:cs="宋体"/>
                <w:sz w:val="21"/>
                <w:szCs w:val="21"/>
              </w:rPr>
              <w:t>方案完整详细、针对性强、可操作性强，得8-</w:t>
            </w:r>
            <w:r>
              <w:rPr>
                <w:rFonts w:ascii="宋体" w:hAnsi="宋体" w:cs="宋体"/>
                <w:sz w:val="21"/>
                <w:szCs w:val="21"/>
              </w:rPr>
              <w:t>10</w:t>
            </w:r>
            <w:r>
              <w:rPr>
                <w:rFonts w:hint="eastAsia" w:ascii="宋体" w:hAnsi="宋体" w:cs="宋体"/>
                <w:sz w:val="21"/>
                <w:szCs w:val="21"/>
              </w:rPr>
              <w:t>分；</w:t>
            </w:r>
          </w:p>
          <w:p w14:paraId="4C1165C1">
            <w:pPr>
              <w:widowControl/>
              <w:autoSpaceDE w:val="0"/>
              <w:spacing w:before="48" w:beforeLines="20" w:after="48" w:afterLines="20"/>
              <w:rPr>
                <w:rFonts w:ascii="宋体" w:hAnsi="宋体" w:cs="宋体"/>
                <w:sz w:val="21"/>
                <w:szCs w:val="21"/>
              </w:rPr>
            </w:pPr>
            <w:r>
              <w:rPr>
                <w:rFonts w:hint="eastAsia" w:ascii="宋体" w:hAnsi="宋体" w:cs="宋体"/>
                <w:sz w:val="21"/>
                <w:szCs w:val="21"/>
              </w:rPr>
              <w:t>方案完整详细性一般、针对性一般、可操作性一般，得5-</w:t>
            </w:r>
            <w:r>
              <w:rPr>
                <w:rFonts w:ascii="宋体" w:hAnsi="宋体" w:cs="宋体"/>
                <w:sz w:val="21"/>
                <w:szCs w:val="21"/>
              </w:rPr>
              <w:t>7</w:t>
            </w:r>
            <w:r>
              <w:rPr>
                <w:rFonts w:hint="eastAsia" w:ascii="宋体" w:hAnsi="宋体" w:cs="宋体"/>
                <w:sz w:val="21"/>
                <w:szCs w:val="21"/>
              </w:rPr>
              <w:t>分；</w:t>
            </w:r>
          </w:p>
          <w:p w14:paraId="3D25A8CB">
            <w:pPr>
              <w:widowControl/>
              <w:autoSpaceDE w:val="0"/>
              <w:spacing w:before="48" w:beforeLines="20" w:after="48" w:afterLines="20"/>
              <w:rPr>
                <w:rFonts w:ascii="宋体" w:hAnsi="宋体" w:cs="宋体"/>
                <w:sz w:val="21"/>
                <w:szCs w:val="21"/>
              </w:rPr>
            </w:pPr>
            <w:r>
              <w:rPr>
                <w:rFonts w:hint="eastAsia" w:ascii="宋体" w:hAnsi="宋体" w:cs="宋体"/>
                <w:sz w:val="21"/>
                <w:szCs w:val="21"/>
              </w:rPr>
              <w:t>方案完整详细性、针对性、可操作性基本可行，得2-</w:t>
            </w:r>
            <w:r>
              <w:rPr>
                <w:rFonts w:ascii="宋体" w:hAnsi="宋体" w:cs="宋体"/>
                <w:sz w:val="21"/>
                <w:szCs w:val="21"/>
              </w:rPr>
              <w:t>4</w:t>
            </w:r>
            <w:r>
              <w:rPr>
                <w:rFonts w:hint="eastAsia" w:ascii="宋体" w:hAnsi="宋体" w:cs="宋体"/>
                <w:sz w:val="21"/>
                <w:szCs w:val="21"/>
              </w:rPr>
              <w:t>分；</w:t>
            </w:r>
          </w:p>
          <w:p w14:paraId="4C05B46B">
            <w:pPr>
              <w:widowControl/>
              <w:autoSpaceDE w:val="0"/>
              <w:spacing w:before="48" w:beforeLines="20" w:after="48" w:afterLines="20"/>
              <w:rPr>
                <w:rFonts w:hint="eastAsia" w:ascii="宋体" w:hAnsi="宋体" w:cs="宋体"/>
                <w:sz w:val="21"/>
                <w:szCs w:val="21"/>
              </w:rPr>
            </w:pPr>
            <w:r>
              <w:rPr>
                <w:rFonts w:hint="eastAsia" w:ascii="宋体" w:hAnsi="宋体" w:cs="宋体"/>
                <w:sz w:val="21"/>
                <w:szCs w:val="21"/>
              </w:rPr>
              <w:t>方案完整详细性较差、针对性较差、可操作性较差，得1分；</w:t>
            </w:r>
          </w:p>
          <w:p w14:paraId="0DE2C568">
            <w:pPr>
              <w:widowControl/>
              <w:autoSpaceDE w:val="0"/>
              <w:spacing w:before="48" w:beforeLines="20" w:after="48" w:afterLines="20"/>
              <w:rPr>
                <w:sz w:val="21"/>
                <w:szCs w:val="21"/>
              </w:rPr>
            </w:pPr>
            <w:r>
              <w:rPr>
                <w:rFonts w:hint="eastAsia" w:ascii="宋体" w:hAnsi="宋体" w:cs="宋体"/>
                <w:sz w:val="21"/>
                <w:szCs w:val="21"/>
              </w:rPr>
              <w:t>无方案不得分。</w:t>
            </w:r>
          </w:p>
        </w:tc>
      </w:tr>
    </w:tbl>
    <w:p w14:paraId="3638EB20">
      <w:pPr>
        <w:spacing w:line="360" w:lineRule="auto"/>
        <w:jc w:val="center"/>
        <w:outlineLvl w:val="0"/>
        <w:rPr>
          <w:b/>
          <w:sz w:val="36"/>
          <w:szCs w:val="36"/>
        </w:rPr>
      </w:pPr>
      <w:r>
        <w:rPr>
          <w:rFonts w:hint="eastAsia"/>
          <w:b/>
          <w:sz w:val="36"/>
          <w:szCs w:val="36"/>
        </w:rPr>
        <w:br w:type="page"/>
      </w:r>
      <w:bookmarkStart w:id="712" w:name="_Toc1006"/>
      <w:r>
        <w:rPr>
          <w:b/>
          <w:sz w:val="36"/>
          <w:szCs w:val="36"/>
        </w:rPr>
        <w:t>第五章   采购需求</w:t>
      </w:r>
      <w:bookmarkEnd w:id="712"/>
    </w:p>
    <w:p w14:paraId="5778765B">
      <w:pPr>
        <w:pStyle w:val="3"/>
        <w:numPr>
          <w:ilvl w:val="0"/>
          <w:numId w:val="21"/>
        </w:numPr>
        <w:spacing w:after="120"/>
        <w:jc w:val="both"/>
        <w:rPr>
          <w:rFonts w:ascii="宋体" w:hAnsi="宋体" w:eastAsia="宋体" w:cs="宋体"/>
          <w:bCs/>
          <w:sz w:val="28"/>
          <w:szCs w:val="28"/>
        </w:rPr>
      </w:pPr>
      <w:bookmarkStart w:id="713" w:name="_Toc54701972"/>
      <w:bookmarkStart w:id="714" w:name="_Toc15107"/>
      <w:r>
        <w:rPr>
          <w:rFonts w:hint="eastAsia" w:ascii="宋体" w:hAnsi="宋体" w:eastAsia="宋体" w:cs="宋体"/>
          <w:bCs/>
          <w:sz w:val="28"/>
          <w:szCs w:val="28"/>
        </w:rPr>
        <w:t>货物或服务需求一览表</w:t>
      </w:r>
      <w:bookmarkEnd w:id="713"/>
      <w:bookmarkEnd w:id="714"/>
    </w:p>
    <w:p w14:paraId="07750C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1.1本项目货物及服务需求一览总表如下：</w:t>
      </w:r>
    </w:p>
    <w:tbl>
      <w:tblPr>
        <w:tblStyle w:val="52"/>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2974"/>
        <w:gridCol w:w="5626"/>
      </w:tblGrid>
      <w:tr w14:paraId="0111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46" w:type="dxa"/>
            <w:vAlign w:val="center"/>
          </w:tcPr>
          <w:p w14:paraId="1665F2F9">
            <w:pPr>
              <w:pStyle w:val="2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74" w:type="dxa"/>
            <w:vAlign w:val="center"/>
          </w:tcPr>
          <w:p w14:paraId="44EDA326">
            <w:pPr>
              <w:pStyle w:val="20"/>
              <w:jc w:val="center"/>
              <w:rPr>
                <w:rFonts w:hint="eastAsia" w:ascii="宋体" w:hAnsi="宋体" w:eastAsia="宋体" w:cs="宋体"/>
                <w:sz w:val="24"/>
                <w:szCs w:val="24"/>
              </w:rPr>
            </w:pPr>
            <w:r>
              <w:rPr>
                <w:rFonts w:hint="eastAsia" w:ascii="宋体" w:hAnsi="宋体" w:eastAsia="宋体" w:cs="宋体"/>
                <w:sz w:val="24"/>
                <w:szCs w:val="24"/>
              </w:rPr>
              <w:t>名称</w:t>
            </w:r>
          </w:p>
        </w:tc>
        <w:tc>
          <w:tcPr>
            <w:tcW w:w="5626" w:type="dxa"/>
            <w:vAlign w:val="center"/>
          </w:tcPr>
          <w:p w14:paraId="64F6460A">
            <w:pPr>
              <w:pStyle w:val="20"/>
              <w:jc w:val="center"/>
              <w:rPr>
                <w:rFonts w:hint="eastAsia" w:ascii="宋体" w:hAnsi="宋体" w:eastAsia="宋体" w:cs="宋体"/>
                <w:sz w:val="24"/>
                <w:szCs w:val="24"/>
              </w:rPr>
            </w:pPr>
            <w:r>
              <w:rPr>
                <w:rFonts w:hint="eastAsia" w:ascii="宋体" w:hAnsi="宋体" w:eastAsia="宋体" w:cs="宋体"/>
                <w:sz w:val="24"/>
                <w:szCs w:val="24"/>
              </w:rPr>
              <w:t>简要需求</w:t>
            </w:r>
          </w:p>
        </w:tc>
      </w:tr>
      <w:tr w14:paraId="123E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846" w:type="dxa"/>
            <w:vAlign w:val="center"/>
          </w:tcPr>
          <w:p w14:paraId="3D760497">
            <w:pPr>
              <w:pStyle w:val="20"/>
              <w:jc w:val="center"/>
              <w:rPr>
                <w:rFonts w:hint="eastAsia" w:ascii="宋体" w:hAnsi="宋体" w:eastAsia="宋体" w:cs="宋体"/>
                <w:sz w:val="24"/>
                <w:szCs w:val="24"/>
              </w:rPr>
            </w:pPr>
            <w:r>
              <w:rPr>
                <w:rFonts w:hint="eastAsia" w:ascii="宋体" w:hAnsi="宋体" w:eastAsia="宋体" w:cs="宋体"/>
                <w:sz w:val="24"/>
                <w:szCs w:val="24"/>
              </w:rPr>
              <w:t>1</w:t>
            </w:r>
          </w:p>
        </w:tc>
        <w:tc>
          <w:tcPr>
            <w:tcW w:w="2974" w:type="dxa"/>
            <w:vAlign w:val="center"/>
          </w:tcPr>
          <w:p w14:paraId="069EFDE0">
            <w:pPr>
              <w:pStyle w:val="20"/>
              <w:jc w:val="center"/>
              <w:rPr>
                <w:rFonts w:hint="eastAsia" w:ascii="宋体" w:hAnsi="宋体" w:eastAsia="宋体" w:cs="宋体"/>
                <w:sz w:val="24"/>
                <w:szCs w:val="24"/>
                <w:lang w:eastAsia="zh-CN"/>
              </w:rPr>
            </w:pPr>
            <w:r>
              <w:rPr>
                <w:rFonts w:hint="eastAsia" w:ascii="宋体" w:hAnsi="宋体" w:eastAsia="宋体" w:cs="宋体"/>
                <w:bCs/>
                <w:sz w:val="24"/>
                <w:szCs w:val="24"/>
                <w:lang w:eastAsia="zh-CN"/>
              </w:rPr>
              <w:t>2025年环卫中心基建维修项目结算审计</w:t>
            </w:r>
          </w:p>
        </w:tc>
        <w:tc>
          <w:tcPr>
            <w:tcW w:w="5626" w:type="dxa"/>
            <w:vAlign w:val="center"/>
          </w:tcPr>
          <w:p w14:paraId="6F841B69">
            <w:pPr>
              <w:widowControl/>
              <w:spacing w:line="240" w:lineRule="auto"/>
              <w:jc w:val="center"/>
              <w:rPr>
                <w:rStyle w:val="563"/>
                <w:rFonts w:hint="eastAsia" w:ascii="宋体" w:hAnsi="宋体" w:eastAsia="宋体" w:cs="宋体"/>
                <w:bCs/>
                <w:sz w:val="24"/>
                <w:szCs w:val="24"/>
                <w:lang w:eastAsia="zh-CN"/>
              </w:rPr>
            </w:pPr>
            <w:r>
              <w:rPr>
                <w:rStyle w:val="563"/>
                <w:rFonts w:hint="eastAsia" w:ascii="宋体" w:hAnsi="宋体" w:eastAsia="宋体" w:cs="宋体"/>
                <w:bCs/>
                <w:sz w:val="24"/>
                <w:szCs w:val="24"/>
                <w:lang w:eastAsia="zh-CN"/>
              </w:rPr>
              <w:t>承担2025年环卫中心基建维修项目的竣工结算审核并出具工程竣工结算审核报告。</w:t>
            </w:r>
          </w:p>
        </w:tc>
      </w:tr>
    </w:tbl>
    <w:p w14:paraId="02FD90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1.2服务期限：自签合同之日始，至出具</w:t>
      </w:r>
      <w:r>
        <w:rPr>
          <w:rFonts w:hint="eastAsia" w:ascii="宋体" w:hAnsi="宋体" w:eastAsia="宋体" w:cs="宋体"/>
          <w:bCs/>
          <w:sz w:val="24"/>
          <w:szCs w:val="24"/>
          <w:lang w:eastAsia="zh-CN"/>
        </w:rPr>
        <w:t>2025年环卫中心基建维修项目结算审计</w:t>
      </w:r>
      <w:r>
        <w:rPr>
          <w:rFonts w:hint="eastAsia" w:ascii="宋体" w:hAnsi="宋体" w:eastAsia="宋体" w:cs="宋体"/>
          <w:sz w:val="24"/>
          <w:szCs w:val="24"/>
          <w:highlight w:val="none"/>
        </w:rPr>
        <w:t>报告止。</w:t>
      </w:r>
    </w:p>
    <w:p w14:paraId="1AE5A0C4">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1.3服务地点：采购人指定。</w:t>
      </w:r>
    </w:p>
    <w:p w14:paraId="43598076">
      <w:pPr>
        <w:pStyle w:val="3"/>
        <w:numPr>
          <w:ilvl w:val="0"/>
          <w:numId w:val="21"/>
        </w:numPr>
        <w:spacing w:after="120"/>
        <w:jc w:val="both"/>
        <w:rPr>
          <w:rFonts w:hint="eastAsia" w:cs="宋体"/>
          <w:szCs w:val="24"/>
        </w:rPr>
      </w:pPr>
      <w:bookmarkStart w:id="715" w:name="_Toc89350214"/>
      <w:r>
        <w:rPr>
          <w:rFonts w:hint="eastAsia" w:ascii="宋体" w:hAnsi="宋体" w:eastAsia="宋体" w:cs="宋体"/>
          <w:bCs/>
          <w:sz w:val="28"/>
          <w:szCs w:val="28"/>
        </w:rPr>
        <w:t>技术规格及要求</w:t>
      </w:r>
      <w:bookmarkEnd w:id="715"/>
    </w:p>
    <w:p w14:paraId="42F694B7">
      <w:pPr>
        <w:pStyle w:val="4"/>
        <w:spacing w:before="120" w:after="120"/>
        <w:ind w:firstLine="482"/>
        <w:rPr>
          <w:rFonts w:cs="宋体"/>
          <w:szCs w:val="24"/>
          <w:u w:val="none"/>
        </w:rPr>
      </w:pPr>
      <w:r>
        <w:rPr>
          <w:rFonts w:hint="eastAsia" w:cs="宋体"/>
          <w:szCs w:val="24"/>
          <w:u w:val="none"/>
        </w:rPr>
        <w:t>一、项目概况</w:t>
      </w:r>
    </w:p>
    <w:p w14:paraId="5CDD700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（一）建设内容</w:t>
      </w:r>
    </w:p>
    <w:p w14:paraId="3946C497">
      <w:pPr>
        <w:bidi w:val="0"/>
        <w:ind w:left="0" w:leftChars="0" w:firstLine="480" w:firstLineChars="200"/>
        <w:rPr>
          <w:rFonts w:hint="eastAsia"/>
        </w:rPr>
      </w:pPr>
      <w:r>
        <w:rPr>
          <w:rFonts w:hint="eastAsia"/>
        </w:rPr>
        <w:t>本次比选为选择专业审计单位承担</w:t>
      </w:r>
      <w:r>
        <w:rPr>
          <w:rFonts w:hint="eastAsia"/>
          <w:lang w:eastAsia="zh-CN"/>
        </w:rPr>
        <w:t>2025年环卫中心基建维修项目</w:t>
      </w:r>
      <w:r>
        <w:rPr>
          <w:rFonts w:hint="eastAsia"/>
        </w:rPr>
        <w:t>的</w:t>
      </w:r>
      <w:r>
        <w:rPr>
          <w:rFonts w:hint="eastAsia"/>
          <w:lang w:eastAsia="zh-CN"/>
        </w:rPr>
        <w:t>结算审计</w:t>
      </w:r>
      <w:r>
        <w:rPr>
          <w:rFonts w:hint="eastAsia"/>
        </w:rPr>
        <w:t>工作。</w:t>
      </w:r>
    </w:p>
    <w:p w14:paraId="7D89504B">
      <w:pPr>
        <w:bidi w:val="0"/>
        <w:ind w:left="0" w:leftChars="0" w:firstLine="480" w:firstLineChars="200"/>
        <w:rPr>
          <w:rFonts w:hint="eastAsia"/>
        </w:rPr>
      </w:pPr>
      <w:r>
        <w:rPr>
          <w:rFonts w:hint="eastAsia"/>
        </w:rPr>
        <w:t>维修项目为</w:t>
      </w:r>
      <w:r>
        <w:rPr>
          <w:rFonts w:hint="eastAsia"/>
          <w:lang w:eastAsia="zh-CN"/>
        </w:rPr>
        <w:t>2025年环卫中心基建维修项目结算审计</w:t>
      </w:r>
      <w:r>
        <w:rPr>
          <w:rFonts w:hint="eastAsia"/>
        </w:rPr>
        <w:t>包括但不限于以下项目：环卫中心2025办公区维修工程项目，零星维修项目。办公区维修预算金额：45万，零星维修预算金额：15万，总预算金额不超60万。</w:t>
      </w:r>
    </w:p>
    <w:p w14:paraId="07B0DE63">
      <w:pPr>
        <w:pStyle w:val="4"/>
        <w:spacing w:before="120" w:after="120" w:line="360" w:lineRule="auto"/>
        <w:ind w:firstLine="482"/>
        <w:rPr>
          <w:rFonts w:hint="eastAsia" w:ascii="宋体" w:hAnsi="宋体" w:eastAsia="宋体" w:cs="宋体"/>
          <w:sz w:val="28"/>
          <w:szCs w:val="28"/>
          <w:u w:val="none"/>
        </w:rPr>
      </w:pPr>
      <w:r>
        <w:rPr>
          <w:rFonts w:hint="eastAsia" w:ascii="宋体" w:hAnsi="宋体" w:eastAsia="宋体" w:cs="宋体"/>
          <w:sz w:val="28"/>
          <w:szCs w:val="28"/>
          <w:u w:val="none"/>
        </w:rPr>
        <w:t>二、工作内容及要求</w:t>
      </w:r>
    </w:p>
    <w:p w14:paraId="05BF2D8C">
      <w:pPr>
        <w:adjustRightInd w:val="0"/>
        <w:snapToGrid w:val="0"/>
        <w:spacing w:line="360" w:lineRule="auto"/>
        <w:ind w:firstLine="562" w:firstLineChars="200"/>
        <w:outlineLvl w:val="2"/>
        <w:rPr>
          <w:rFonts w:hint="eastAsia" w:ascii="宋体" w:hAnsi="宋体" w:cs="宋体"/>
          <w:b/>
          <w:bCs/>
          <w:color w:val="000000"/>
          <w:sz w:val="28"/>
          <w:szCs w:val="28"/>
        </w:rPr>
      </w:pPr>
      <w:r>
        <w:rPr>
          <w:rFonts w:hint="eastAsia" w:ascii="宋体" w:hAnsi="宋体" w:cs="宋体"/>
          <w:b/>
          <w:bCs/>
          <w:color w:val="000000"/>
          <w:sz w:val="28"/>
          <w:szCs w:val="28"/>
        </w:rPr>
        <w:t>1、工作内容</w:t>
      </w:r>
    </w:p>
    <w:p w14:paraId="24E589C5">
      <w:pPr>
        <w:bidi w:val="0"/>
        <w:ind w:left="0" w:leftChars="0" w:firstLine="480" w:firstLineChars="200"/>
        <w:rPr>
          <w:rFonts w:hint="eastAsia" w:ascii="宋体" w:hAnsi="宋体" w:eastAsia="宋体" w:cs="宋体"/>
        </w:rPr>
      </w:pPr>
      <w:r>
        <w:rPr>
          <w:rFonts w:hint="eastAsia" w:ascii="宋体" w:hAnsi="宋体" w:eastAsia="宋体" w:cs="宋体"/>
        </w:rPr>
        <w:t>审核2025年环卫中心基建维修项目结算审计的结算价格是否合理，防止维修工程项目造价出现高估冒算，并出具结算审计报告。</w:t>
      </w:r>
    </w:p>
    <w:p w14:paraId="3370CACB">
      <w:pPr>
        <w:adjustRightInd w:val="0"/>
        <w:snapToGrid w:val="0"/>
        <w:spacing w:line="360" w:lineRule="auto"/>
        <w:ind w:firstLine="562" w:firstLineChars="200"/>
        <w:outlineLvl w:val="2"/>
        <w:rPr>
          <w:rFonts w:hint="eastAsia" w:ascii="宋体" w:hAnsi="宋体" w:cs="宋体"/>
          <w:b/>
          <w:bCs/>
          <w:color w:val="000000"/>
          <w:sz w:val="28"/>
          <w:szCs w:val="28"/>
        </w:rPr>
      </w:pPr>
      <w:r>
        <w:rPr>
          <w:rFonts w:hint="eastAsia" w:ascii="宋体" w:hAnsi="宋体" w:cs="宋体"/>
          <w:b/>
          <w:bCs/>
          <w:color w:val="000000"/>
          <w:sz w:val="28"/>
          <w:szCs w:val="28"/>
        </w:rPr>
        <w:t>2、工作要求</w:t>
      </w:r>
    </w:p>
    <w:p w14:paraId="50F72A67">
      <w:pPr>
        <w:bidi w:val="0"/>
        <w:ind w:left="0" w:leftChars="0" w:firstLine="480" w:firstLineChars="200"/>
        <w:rPr>
          <w:rFonts w:hint="eastAsia" w:ascii="宋体" w:hAnsi="宋体" w:eastAsia="宋体" w:cs="宋体"/>
        </w:rPr>
      </w:pPr>
      <w:r>
        <w:rPr>
          <w:rFonts w:hint="eastAsia" w:ascii="宋体" w:hAnsi="宋体" w:eastAsia="宋体" w:cs="宋体"/>
        </w:rPr>
        <w:t>按照国家法律法规和行业规范要求及北京市、海淀区建设项目审计要求，进行工程结算审计工作，出具工程结算审核报告，并对审核结果的负责。</w:t>
      </w:r>
    </w:p>
    <w:p w14:paraId="181465AB">
      <w:pPr>
        <w:bidi w:val="0"/>
        <w:ind w:left="0" w:leftChars="0" w:firstLine="480" w:firstLineChars="200"/>
        <w:rPr>
          <w:rFonts w:hint="eastAsia" w:ascii="宋体" w:hAnsi="宋体" w:eastAsia="宋体" w:cs="宋体"/>
        </w:rPr>
      </w:pPr>
      <w:r>
        <w:rPr>
          <w:rFonts w:hint="eastAsia" w:ascii="宋体" w:hAnsi="宋体" w:eastAsia="宋体" w:cs="宋体"/>
        </w:rPr>
        <w:t>（1）按照海淀区建设项目审计要求，编制审计工作底稿、审计事项认定记录，审计事项的调查取证、收集审计证据，进行工程结算审计。</w:t>
      </w:r>
    </w:p>
    <w:p w14:paraId="63F823C9">
      <w:pPr>
        <w:bidi w:val="0"/>
        <w:ind w:left="0" w:leftChars="0" w:firstLine="480" w:firstLineChars="200"/>
        <w:rPr>
          <w:rFonts w:hint="eastAsia" w:ascii="宋体" w:hAnsi="宋体" w:eastAsia="宋体" w:cs="宋体"/>
        </w:rPr>
      </w:pPr>
      <w:r>
        <w:rPr>
          <w:rFonts w:hint="eastAsia" w:ascii="宋体" w:hAnsi="宋体" w:eastAsia="宋体" w:cs="宋体"/>
        </w:rPr>
        <w:t>（2）在报告定稿前，须征求委托单位意见，并根据委托单位提出的意见对报告进行修改和完善。在委托单位认可同意后，方可正式出具工程结算审核报告。</w:t>
      </w:r>
    </w:p>
    <w:p w14:paraId="3AD89A71">
      <w:pPr>
        <w:adjustRightInd w:val="0"/>
        <w:snapToGrid w:val="0"/>
        <w:spacing w:line="360" w:lineRule="auto"/>
        <w:ind w:firstLine="562" w:firstLineChars="200"/>
        <w:outlineLvl w:val="2"/>
        <w:rPr>
          <w:rFonts w:hint="eastAsia" w:ascii="宋体" w:hAnsi="宋体" w:cs="宋体"/>
          <w:b/>
          <w:bCs/>
          <w:color w:val="000000"/>
          <w:sz w:val="28"/>
          <w:szCs w:val="28"/>
        </w:rPr>
      </w:pPr>
      <w:bookmarkStart w:id="716" w:name="_Toc413779655"/>
      <w:bookmarkStart w:id="717" w:name="_Toc21929"/>
      <w:bookmarkStart w:id="718" w:name="_Toc22597"/>
      <w:r>
        <w:rPr>
          <w:rFonts w:hint="eastAsia" w:ascii="宋体" w:hAnsi="宋体" w:cs="宋体"/>
          <w:b/>
          <w:bCs/>
          <w:color w:val="000000"/>
          <w:sz w:val="28"/>
          <w:szCs w:val="28"/>
        </w:rPr>
        <w:t>3、单位</w:t>
      </w:r>
      <w:bookmarkEnd w:id="716"/>
      <w:bookmarkEnd w:id="717"/>
      <w:r>
        <w:rPr>
          <w:rFonts w:hint="eastAsia" w:ascii="宋体" w:hAnsi="宋体" w:cs="宋体"/>
          <w:b/>
          <w:bCs/>
          <w:color w:val="000000"/>
          <w:sz w:val="28"/>
          <w:szCs w:val="28"/>
        </w:rPr>
        <w:t>要求</w:t>
      </w:r>
      <w:bookmarkEnd w:id="718"/>
    </w:p>
    <w:p w14:paraId="0DF7B5EA">
      <w:pPr>
        <w:bidi w:val="0"/>
        <w:ind w:left="0" w:leftChars="0" w:firstLine="480" w:firstLineChars="200"/>
        <w:rPr>
          <w:rFonts w:hint="eastAsia" w:ascii="宋体" w:hAnsi="宋体" w:eastAsia="宋体" w:cs="宋体"/>
        </w:rPr>
      </w:pPr>
      <w:r>
        <w:rPr>
          <w:rFonts w:hint="eastAsia" w:ascii="宋体" w:hAnsi="宋体" w:eastAsia="宋体" w:cs="宋体"/>
        </w:rPr>
        <w:t>（1）高素质审计团队</w:t>
      </w:r>
    </w:p>
    <w:p w14:paraId="624CCC07">
      <w:pPr>
        <w:bidi w:val="0"/>
        <w:ind w:left="0" w:leftChars="0" w:firstLine="480" w:firstLineChars="200"/>
        <w:rPr>
          <w:rFonts w:hint="eastAsia" w:ascii="宋体" w:hAnsi="宋体" w:eastAsia="宋体" w:cs="宋体"/>
        </w:rPr>
      </w:pPr>
      <w:r>
        <w:rPr>
          <w:rFonts w:hint="eastAsia" w:ascii="宋体" w:hAnsi="宋体" w:eastAsia="宋体" w:cs="宋体"/>
        </w:rPr>
        <w:t>审计单位应组织由技术水平高、组织能力强的技术骨干组成的高素质审计团队，确保审计质量水平达到北京市、海淀区审计部门和比选文件的要求。</w:t>
      </w:r>
    </w:p>
    <w:p w14:paraId="34F23981">
      <w:pPr>
        <w:bidi w:val="0"/>
        <w:ind w:left="0" w:leftChars="0" w:firstLine="480" w:firstLineChars="200"/>
        <w:rPr>
          <w:rFonts w:hint="eastAsia" w:ascii="宋体" w:hAnsi="宋体" w:eastAsia="宋体" w:cs="宋体"/>
        </w:rPr>
      </w:pPr>
      <w:r>
        <w:rPr>
          <w:rFonts w:hint="eastAsia" w:ascii="宋体" w:hAnsi="宋体" w:eastAsia="宋体" w:cs="宋体"/>
        </w:rPr>
        <w:t>（2）审计进度控制</w:t>
      </w:r>
    </w:p>
    <w:p w14:paraId="3F02AD1A">
      <w:pPr>
        <w:bidi w:val="0"/>
        <w:ind w:left="0" w:leftChars="0" w:firstLine="480" w:firstLineChars="200"/>
        <w:rPr>
          <w:rFonts w:hint="eastAsia" w:ascii="宋体" w:hAnsi="宋体" w:eastAsia="宋体" w:cs="宋体"/>
        </w:rPr>
      </w:pPr>
      <w:r>
        <w:rPr>
          <w:rFonts w:hint="eastAsia" w:ascii="宋体" w:hAnsi="宋体" w:eastAsia="宋体" w:cs="宋体"/>
        </w:rPr>
        <w:t>审计单位应根据本项目的审计进度要求，制定详细的项目实施计划，严格控制时间节点，按时向甲方提供审计成果文件。</w:t>
      </w:r>
    </w:p>
    <w:p w14:paraId="07C0566F">
      <w:pPr>
        <w:bidi w:val="0"/>
        <w:ind w:left="0" w:leftChars="0" w:firstLine="480" w:firstLineChars="200"/>
        <w:rPr>
          <w:rFonts w:hint="eastAsia" w:ascii="宋体" w:hAnsi="宋体" w:eastAsia="宋体" w:cs="宋体"/>
        </w:rPr>
      </w:pPr>
      <w:r>
        <w:rPr>
          <w:rFonts w:hint="eastAsia" w:ascii="宋体" w:hAnsi="宋体" w:eastAsia="宋体" w:cs="宋体"/>
        </w:rPr>
        <w:t>（3）审计质量保证</w:t>
      </w:r>
    </w:p>
    <w:p w14:paraId="779D3847">
      <w:pPr>
        <w:bidi w:val="0"/>
        <w:ind w:left="0" w:leftChars="0" w:firstLine="480" w:firstLineChars="200"/>
        <w:rPr>
          <w:rFonts w:hint="eastAsia" w:ascii="宋体" w:hAnsi="宋体" w:eastAsia="宋体" w:cs="宋体"/>
        </w:rPr>
      </w:pPr>
      <w:r>
        <w:rPr>
          <w:rFonts w:hint="eastAsia" w:ascii="宋体" w:hAnsi="宋体" w:eastAsia="宋体" w:cs="宋体"/>
        </w:rPr>
        <w:t>审计单位应保证工程审计质量，保证审计工作达到国家法律法规和行业规范要求及北京市、海淀区建设项目的审计要求，确保通过区财政部门、审计部门的后期审查。</w:t>
      </w:r>
    </w:p>
    <w:p w14:paraId="7F090280">
      <w:pPr>
        <w:bidi w:val="0"/>
        <w:ind w:left="0" w:leftChars="0" w:firstLine="480" w:firstLineChars="200"/>
        <w:rPr>
          <w:rFonts w:hint="eastAsia" w:ascii="宋体" w:hAnsi="宋体" w:eastAsia="宋体" w:cs="宋体"/>
        </w:rPr>
      </w:pPr>
      <w:r>
        <w:rPr>
          <w:rFonts w:hint="eastAsia" w:ascii="宋体" w:hAnsi="宋体" w:eastAsia="宋体" w:cs="宋体"/>
        </w:rPr>
        <w:t>（4）审计相关后续支撑</w:t>
      </w:r>
    </w:p>
    <w:p w14:paraId="5ADF4ED5">
      <w:pPr>
        <w:bidi w:val="0"/>
        <w:ind w:left="0" w:leftChars="0" w:firstLine="480" w:firstLineChars="200"/>
        <w:rPr>
          <w:rFonts w:hint="eastAsia" w:ascii="宋体" w:hAnsi="宋体" w:eastAsia="宋体" w:cs="宋体"/>
        </w:rPr>
      </w:pPr>
      <w:r>
        <w:rPr>
          <w:rFonts w:hint="eastAsia" w:ascii="宋体" w:hAnsi="宋体" w:eastAsia="宋体" w:cs="宋体"/>
        </w:rPr>
        <w:t>审计单位应协助配合后续上级部门的审计检查工作。</w:t>
      </w:r>
    </w:p>
    <w:p w14:paraId="5A3D731B">
      <w:pPr>
        <w:adjustRightInd w:val="0"/>
        <w:snapToGrid w:val="0"/>
        <w:spacing w:line="360" w:lineRule="auto"/>
        <w:ind w:firstLine="562" w:firstLineChars="200"/>
        <w:outlineLvl w:val="2"/>
        <w:rPr>
          <w:rFonts w:hint="eastAsia" w:ascii="宋体" w:hAnsi="宋体" w:cs="宋体"/>
          <w:b/>
          <w:bCs/>
          <w:color w:val="000000"/>
          <w:sz w:val="28"/>
          <w:szCs w:val="28"/>
        </w:rPr>
      </w:pPr>
      <w:bookmarkStart w:id="719" w:name="_Toc14885"/>
      <w:r>
        <w:rPr>
          <w:rFonts w:hint="eastAsia" w:ascii="宋体" w:hAnsi="宋体" w:cs="宋体"/>
          <w:b/>
          <w:bCs/>
          <w:color w:val="000000"/>
          <w:sz w:val="28"/>
          <w:szCs w:val="28"/>
        </w:rPr>
        <w:t>4、人员要求</w:t>
      </w:r>
      <w:bookmarkEnd w:id="719"/>
    </w:p>
    <w:p w14:paraId="05055FCE">
      <w:pPr>
        <w:bidi w:val="0"/>
        <w:ind w:left="0" w:leftChars="0" w:firstLine="480" w:firstLineChars="200"/>
        <w:rPr>
          <w:rFonts w:hint="eastAsia" w:ascii="宋体" w:hAnsi="宋体" w:eastAsia="宋体" w:cs="宋体"/>
        </w:rPr>
      </w:pPr>
      <w:r>
        <w:rPr>
          <w:rFonts w:hint="eastAsia" w:ascii="宋体" w:hAnsi="宋体" w:eastAsia="宋体" w:cs="宋体"/>
        </w:rPr>
        <w:t>（1）项目负责人</w:t>
      </w:r>
    </w:p>
    <w:p w14:paraId="5F4631A6">
      <w:pPr>
        <w:bidi w:val="0"/>
        <w:ind w:left="0" w:leftChars="0" w:firstLine="480" w:firstLineChars="200"/>
        <w:rPr>
          <w:rFonts w:hint="eastAsia" w:ascii="宋体" w:hAnsi="宋体" w:eastAsia="宋体" w:cs="宋体"/>
        </w:rPr>
      </w:pPr>
      <w:r>
        <w:rPr>
          <w:rFonts w:hint="eastAsia" w:ascii="宋体" w:hAnsi="宋体" w:eastAsia="宋体" w:cs="宋体"/>
        </w:rPr>
        <w:t>审计单位应指定技术水平高、组织能力强的技术骨干作为项目负责人。项目负责人应满足以下条件：</w:t>
      </w:r>
    </w:p>
    <w:p w14:paraId="3B349643">
      <w:pPr>
        <w:bidi w:val="0"/>
        <w:ind w:left="0" w:leftChars="0" w:firstLine="480" w:firstLineChars="200"/>
        <w:rPr>
          <w:rFonts w:hint="eastAsia" w:ascii="宋体" w:hAnsi="宋体" w:eastAsia="宋体" w:cs="宋体"/>
        </w:rPr>
      </w:pPr>
      <w:r>
        <w:rPr>
          <w:rFonts w:hint="eastAsia" w:ascii="宋体" w:hAnsi="宋体" w:eastAsia="宋体" w:cs="宋体"/>
        </w:rPr>
        <w:t>具有注册造价工程师证；</w:t>
      </w:r>
    </w:p>
    <w:p w14:paraId="7D491AD6">
      <w:pPr>
        <w:bidi w:val="0"/>
        <w:ind w:left="0" w:leftChars="0" w:firstLine="480" w:firstLineChars="200"/>
        <w:rPr>
          <w:rFonts w:hint="eastAsia" w:ascii="宋体" w:hAnsi="宋体" w:eastAsia="宋体" w:cs="宋体"/>
        </w:rPr>
      </w:pPr>
      <w:r>
        <w:rPr>
          <w:rFonts w:hint="eastAsia" w:ascii="宋体" w:hAnsi="宋体" w:eastAsia="宋体" w:cs="宋体"/>
        </w:rPr>
        <w:t>具有中级或中级以上职称；</w:t>
      </w:r>
    </w:p>
    <w:p w14:paraId="587BB8F9">
      <w:pPr>
        <w:bidi w:val="0"/>
        <w:ind w:left="0" w:leftChars="0" w:firstLine="480" w:firstLineChars="200"/>
        <w:rPr>
          <w:rFonts w:hint="eastAsia" w:ascii="宋体" w:hAnsi="宋体" w:eastAsia="宋体" w:cs="宋体"/>
        </w:rPr>
      </w:pPr>
      <w:r>
        <w:rPr>
          <w:rFonts w:hint="eastAsia" w:ascii="宋体" w:hAnsi="宋体" w:eastAsia="宋体" w:cs="宋体"/>
        </w:rPr>
        <w:t>（2）项目团队人员</w:t>
      </w:r>
    </w:p>
    <w:p w14:paraId="1D34422D">
      <w:pPr>
        <w:bidi w:val="0"/>
        <w:ind w:left="0" w:leftChars="0" w:firstLine="480" w:firstLineChars="200"/>
        <w:rPr>
          <w:rFonts w:hint="eastAsia" w:ascii="宋体" w:hAnsi="宋体" w:eastAsia="宋体" w:cs="宋体"/>
        </w:rPr>
      </w:pPr>
      <w:r>
        <w:rPr>
          <w:rFonts w:hint="eastAsia" w:ascii="宋体" w:hAnsi="宋体" w:eastAsia="宋体" w:cs="宋体"/>
        </w:rPr>
        <w:t>审计单位应成立专门项目组，项目组人员的资历、素质和构成应满足本项目的工作需要。</w:t>
      </w:r>
    </w:p>
    <w:p w14:paraId="751E7792">
      <w:pPr>
        <w:bidi w:val="0"/>
        <w:ind w:left="0" w:leftChars="0" w:firstLine="480" w:firstLineChars="200"/>
        <w:rPr>
          <w:rFonts w:hint="eastAsia" w:ascii="宋体" w:hAnsi="宋体" w:eastAsia="宋体" w:cs="宋体"/>
        </w:rPr>
      </w:pPr>
      <w:r>
        <w:rPr>
          <w:rFonts w:hint="eastAsia" w:ascii="宋体" w:hAnsi="宋体" w:eastAsia="宋体" w:cs="宋体"/>
        </w:rPr>
        <w:t>（3）应提供项目负责人简历相关材料及主要审计人员情况。</w:t>
      </w:r>
    </w:p>
    <w:p w14:paraId="2868109E">
      <w:pPr>
        <w:bidi w:val="0"/>
        <w:ind w:left="0" w:leftChars="0" w:firstLine="480" w:firstLineChars="200"/>
        <w:rPr>
          <w:rFonts w:hint="eastAsia" w:ascii="宋体" w:hAnsi="宋体" w:eastAsia="宋体" w:cs="宋体"/>
        </w:rPr>
      </w:pPr>
      <w:r>
        <w:rPr>
          <w:rFonts w:hint="eastAsia" w:ascii="宋体" w:hAnsi="宋体" w:eastAsia="宋体" w:cs="宋体"/>
        </w:rPr>
        <w:t>（4）根据审计工作量，随时增加合格的审计人员以保证项目审计进度。</w:t>
      </w:r>
    </w:p>
    <w:p w14:paraId="3E35C82E">
      <w:pPr>
        <w:bidi w:val="0"/>
        <w:ind w:left="0" w:leftChars="0" w:firstLine="480" w:firstLineChars="200"/>
        <w:rPr>
          <w:rFonts w:hint="eastAsia" w:ascii="宋体" w:hAnsi="宋体" w:eastAsia="宋体" w:cs="宋体"/>
        </w:rPr>
      </w:pPr>
      <w:r>
        <w:rPr>
          <w:rFonts w:hint="eastAsia" w:ascii="宋体" w:hAnsi="宋体" w:eastAsia="宋体" w:cs="宋体"/>
        </w:rPr>
        <w:t>（5）派驻本项目的人员必须与申请书中所报的人员一致，并在整个服务期内保持派驻人员的相对稳定。审计人员一经确定，不得随意进行更换，除非经过委托单位批准。</w:t>
      </w:r>
    </w:p>
    <w:p w14:paraId="2BB0964F">
      <w:pPr>
        <w:bidi w:val="0"/>
        <w:ind w:left="0" w:leftChars="0" w:firstLine="480" w:firstLineChars="200"/>
        <w:rPr>
          <w:rFonts w:hint="eastAsia" w:ascii="宋体" w:hAnsi="宋体" w:eastAsia="宋体" w:cs="宋体"/>
        </w:rPr>
      </w:pPr>
      <w:r>
        <w:rPr>
          <w:rFonts w:hint="eastAsia" w:ascii="宋体" w:hAnsi="宋体" w:eastAsia="宋体" w:cs="宋体"/>
        </w:rPr>
        <w:t>（6）尽管已按响应文件计划派遣了进场人员，若委托单位认为所派驻的人员不能满足工作需要而影响了工作质量、进度及合同项下其他方面的要求时，委托单位有权要求审计单位另外增派人员，审计单位应立即予以安排，其费用被认为已包含在报价之中。</w:t>
      </w:r>
    </w:p>
    <w:p w14:paraId="05D8EDFA">
      <w:pPr>
        <w:pStyle w:val="4"/>
        <w:spacing w:before="120" w:after="120" w:line="240" w:lineRule="auto"/>
        <w:ind w:firstLine="482"/>
        <w:rPr>
          <w:rFonts w:hint="eastAsia" w:ascii="宋体" w:hAnsi="宋体" w:eastAsia="宋体" w:cs="宋体"/>
          <w:sz w:val="28"/>
          <w:szCs w:val="28"/>
          <w:u w:val="none"/>
        </w:rPr>
      </w:pPr>
      <w:r>
        <w:rPr>
          <w:rFonts w:hint="eastAsia" w:ascii="宋体" w:hAnsi="宋体" w:eastAsia="宋体" w:cs="宋体"/>
          <w:sz w:val="28"/>
          <w:szCs w:val="28"/>
          <w:u w:val="none"/>
        </w:rPr>
        <w:t>三、服务规范</w:t>
      </w:r>
    </w:p>
    <w:p w14:paraId="14C0E849">
      <w:pPr>
        <w:bidi w:val="0"/>
        <w:ind w:left="0" w:leftChars="0" w:firstLine="480" w:firstLineChars="200"/>
        <w:rPr>
          <w:rFonts w:hint="eastAsia" w:ascii="宋体" w:hAnsi="宋体" w:eastAsia="宋体" w:cs="宋体"/>
        </w:rPr>
      </w:pPr>
      <w:r>
        <w:rPr>
          <w:rFonts w:hint="eastAsia" w:ascii="宋体" w:hAnsi="宋体" w:eastAsia="宋体" w:cs="宋体"/>
        </w:rPr>
        <w:t>审计单位在审计过程中，要根据采购人提供的资料，依据审计法律法规、建设主管部门颁布的工程建设标准和相关规定以及委托单位有关要求，客观公正地开展审计服务，并出具有法律效力的工程结算审计报告；工程结算审计报告须加盖公司印章和注册造价工程师执业专用章。</w:t>
      </w:r>
    </w:p>
    <w:p w14:paraId="47D0C64C">
      <w:pPr>
        <w:bidi w:val="0"/>
        <w:ind w:left="0" w:leftChars="0" w:firstLine="480" w:firstLineChars="200"/>
        <w:rPr>
          <w:rFonts w:hint="eastAsia" w:ascii="宋体" w:hAnsi="宋体" w:eastAsia="宋体" w:cs="宋体"/>
        </w:rPr>
      </w:pPr>
      <w:r>
        <w:rPr>
          <w:rFonts w:hint="eastAsia" w:ascii="宋体" w:hAnsi="宋体" w:eastAsia="宋体" w:cs="宋体"/>
        </w:rPr>
        <w:t>本项目结算审计工作适用的规范性文件包括但不限于:《中华人民共和国建筑法》、《中华人民共和国民法典》、《工程造价咨询企业管理办法》、《注册造价工程师管理办法》、《建筑工程施工发包与承包计价管理办法》、《建设工程造价咨询规范》（ 2015 年第 771 号（ GBT51095-2015 ））、《建设项目工程结算编审规程》（CECA-GC3-2010）、《建设工程造价咨询成果文件质量标准》（CECA GC7-2012）以及其他现行的与本项目相关的法律、法规、规章、标准、规范及有关文件等。</w:t>
      </w:r>
    </w:p>
    <w:p w14:paraId="3FDB8AEF">
      <w:pPr>
        <w:pStyle w:val="4"/>
        <w:spacing w:before="120" w:after="120" w:line="240" w:lineRule="auto"/>
        <w:ind w:firstLine="482"/>
        <w:rPr>
          <w:rFonts w:hint="eastAsia" w:ascii="宋体" w:hAnsi="宋体" w:eastAsia="宋体" w:cs="宋体"/>
          <w:sz w:val="28"/>
          <w:szCs w:val="28"/>
          <w:u w:val="none"/>
        </w:rPr>
      </w:pPr>
      <w:r>
        <w:rPr>
          <w:rFonts w:hint="eastAsia" w:ascii="宋体" w:hAnsi="宋体" w:eastAsia="宋体" w:cs="宋体"/>
          <w:sz w:val="28"/>
          <w:szCs w:val="28"/>
          <w:u w:val="none"/>
        </w:rPr>
        <w:t>四、实施方案</w:t>
      </w:r>
    </w:p>
    <w:p w14:paraId="6B716541">
      <w:pPr>
        <w:bidi w:val="0"/>
        <w:ind w:left="0" w:leftChars="0" w:firstLine="480" w:firstLineChars="200"/>
        <w:rPr>
          <w:rFonts w:hint="eastAsia" w:ascii="宋体" w:hAnsi="宋体" w:eastAsia="宋体" w:cs="宋体"/>
        </w:rPr>
      </w:pPr>
      <w:bookmarkStart w:id="720" w:name="_Toc6316"/>
      <w:r>
        <w:rPr>
          <w:rFonts w:hint="eastAsia" w:ascii="宋体" w:hAnsi="宋体" w:eastAsia="宋体" w:cs="宋体"/>
        </w:rPr>
        <w:t>实施方案应包括但不局限于以下内容：</w:t>
      </w:r>
    </w:p>
    <w:p w14:paraId="46CF4A4E">
      <w:pPr>
        <w:bidi w:val="0"/>
        <w:ind w:left="0" w:leftChars="0" w:firstLine="480" w:firstLineChars="200"/>
        <w:rPr>
          <w:rFonts w:hint="eastAsia" w:ascii="宋体" w:hAnsi="宋体" w:eastAsia="宋体" w:cs="宋体"/>
        </w:rPr>
      </w:pPr>
      <w:r>
        <w:rPr>
          <w:rFonts w:hint="eastAsia" w:ascii="宋体" w:hAnsi="宋体" w:eastAsia="宋体" w:cs="宋体"/>
        </w:rPr>
        <w:t>1、针对本工程的结算审计审计服务工作流程、目标、具体方案；</w:t>
      </w:r>
    </w:p>
    <w:p w14:paraId="6248A5DA">
      <w:pPr>
        <w:bidi w:val="0"/>
        <w:ind w:left="0" w:leftChars="0" w:firstLine="480" w:firstLineChars="200"/>
        <w:rPr>
          <w:rFonts w:hint="eastAsia" w:ascii="宋体" w:hAnsi="宋体" w:eastAsia="宋体" w:cs="宋体"/>
        </w:rPr>
      </w:pPr>
      <w:r>
        <w:rPr>
          <w:rFonts w:hint="eastAsia" w:ascii="宋体" w:hAnsi="宋体" w:eastAsia="宋体" w:cs="宋体"/>
        </w:rPr>
        <w:t>2、针对本工程的结算审计服务制定的质量控制、进度保证措施。</w:t>
      </w:r>
    </w:p>
    <w:p w14:paraId="2203545F">
      <w:pPr>
        <w:bidi w:val="0"/>
        <w:ind w:left="0" w:leftChars="0" w:firstLine="480" w:firstLineChars="200"/>
        <w:rPr>
          <w:rFonts w:hint="eastAsia" w:ascii="宋体" w:hAnsi="宋体" w:eastAsia="宋体" w:cs="宋体"/>
        </w:rPr>
      </w:pPr>
      <w:r>
        <w:rPr>
          <w:rFonts w:hint="eastAsia" w:ascii="宋体" w:hAnsi="宋体" w:eastAsia="宋体" w:cs="宋体"/>
        </w:rPr>
        <w:t>3、针对本项目的组织机构及专业人员配置情况；</w:t>
      </w:r>
    </w:p>
    <w:p w14:paraId="55F085E9">
      <w:pPr>
        <w:bidi w:val="0"/>
        <w:ind w:left="0" w:leftChars="0" w:firstLine="480" w:firstLineChars="200"/>
        <w:rPr>
          <w:rFonts w:hint="eastAsia" w:ascii="宋体" w:hAnsi="宋体" w:eastAsia="宋体" w:cs="宋体"/>
        </w:rPr>
      </w:pPr>
      <w:r>
        <w:rPr>
          <w:rFonts w:hint="eastAsia" w:ascii="宋体" w:hAnsi="宋体" w:eastAsia="宋体" w:cs="宋体"/>
        </w:rPr>
        <w:t>4、服务承诺。</w:t>
      </w:r>
    </w:p>
    <w:p w14:paraId="56865652">
      <w:pPr>
        <w:pStyle w:val="2"/>
        <w:spacing w:before="120" w:after="120" w:line="360" w:lineRule="auto"/>
        <w:ind w:firstLine="482"/>
        <w:jc w:val="both"/>
        <w:rPr>
          <w:rFonts w:hint="eastAsia" w:ascii="宋体" w:hAnsi="宋体" w:cs="宋体"/>
          <w:sz w:val="28"/>
          <w:szCs w:val="28"/>
        </w:rPr>
      </w:pPr>
      <w:bookmarkStart w:id="721" w:name="_bookmark44"/>
      <w:bookmarkEnd w:id="721"/>
      <w:r>
        <w:rPr>
          <w:rFonts w:hint="eastAsia" w:ascii="宋体" w:hAnsi="宋体" w:cs="宋体"/>
          <w:sz w:val="28"/>
          <w:szCs w:val="28"/>
        </w:rPr>
        <w:t>五、服务质量</w:t>
      </w:r>
    </w:p>
    <w:p w14:paraId="1DD06357">
      <w:pPr>
        <w:bidi w:val="0"/>
        <w:ind w:left="0" w:leftChars="0" w:firstLine="480" w:firstLineChars="200"/>
        <w:rPr>
          <w:rFonts w:hint="eastAsia" w:ascii="宋体" w:hAnsi="宋体" w:eastAsia="宋体" w:cs="宋体"/>
        </w:rPr>
      </w:pPr>
      <w:r>
        <w:rPr>
          <w:rFonts w:hint="eastAsia" w:ascii="宋体" w:hAnsi="宋体" w:eastAsia="宋体" w:cs="宋体"/>
        </w:rPr>
        <w:t>本项目结算审计约定适用的标准、规范、定额等工作依据为：国家相关法律法规、行业相关法律法规及中价协、京价协计价文件，依照委托人的要求，按时交付咨询成果文件。</w:t>
      </w:r>
    </w:p>
    <w:p w14:paraId="79031D59">
      <w:pPr>
        <w:bidi w:val="0"/>
        <w:ind w:left="0" w:leftChars="0" w:firstLine="480" w:firstLineChars="200"/>
        <w:rPr>
          <w:rFonts w:hint="eastAsia" w:ascii="宋体" w:hAnsi="宋体" w:eastAsia="宋体" w:cs="宋体"/>
        </w:rPr>
      </w:pPr>
      <w:r>
        <w:rPr>
          <w:rFonts w:hint="eastAsia" w:ascii="宋体" w:hAnsi="宋体" w:eastAsia="宋体" w:cs="宋体"/>
        </w:rPr>
        <w:t>审计单位应对其出具的工程结算审计成果文件内容的真实性、合法性、准确性负责。</w:t>
      </w:r>
    </w:p>
    <w:p w14:paraId="72090F6B">
      <w:pPr>
        <w:pStyle w:val="2"/>
        <w:spacing w:before="120" w:after="120" w:line="360" w:lineRule="auto"/>
        <w:ind w:firstLine="482"/>
        <w:jc w:val="both"/>
        <w:rPr>
          <w:rFonts w:hint="eastAsia" w:ascii="宋体" w:hAnsi="宋体" w:cs="宋体"/>
          <w:sz w:val="28"/>
          <w:szCs w:val="28"/>
        </w:rPr>
      </w:pPr>
      <w:bookmarkStart w:id="722" w:name="_bookmark45"/>
      <w:bookmarkEnd w:id="722"/>
      <w:r>
        <w:rPr>
          <w:rFonts w:hint="eastAsia" w:ascii="宋体" w:hAnsi="宋体" w:cs="宋体"/>
          <w:sz w:val="28"/>
          <w:szCs w:val="28"/>
        </w:rPr>
        <w:t>六、付款方式</w:t>
      </w:r>
    </w:p>
    <w:p w14:paraId="04B93FC4">
      <w:pPr>
        <w:bidi w:val="0"/>
        <w:ind w:left="0" w:leftChars="0" w:firstLine="480" w:firstLineChars="200"/>
        <w:rPr>
          <w:rFonts w:hint="eastAsia" w:ascii="宋体" w:hAnsi="宋体" w:eastAsia="宋体" w:cs="宋体"/>
        </w:rPr>
      </w:pPr>
      <w:r>
        <w:rPr>
          <w:rFonts w:hint="eastAsia" w:ascii="宋体" w:hAnsi="宋体" w:eastAsia="宋体" w:cs="宋体"/>
        </w:rPr>
        <w:t>最终付款方式以财政部门批准方式或合同要求为准。</w:t>
      </w:r>
    </w:p>
    <w:p w14:paraId="3E370353">
      <w:pPr>
        <w:bidi w:val="0"/>
        <w:ind w:left="0" w:leftChars="0" w:firstLine="480" w:firstLineChars="200"/>
        <w:rPr>
          <w:rFonts w:hint="eastAsia" w:ascii="宋体" w:hAnsi="宋体" w:eastAsia="宋体" w:cs="宋体"/>
        </w:rPr>
      </w:pPr>
      <w:r>
        <w:rPr>
          <w:rFonts w:hint="eastAsia" w:ascii="宋体" w:hAnsi="宋体" w:eastAsia="宋体" w:cs="宋体"/>
        </w:rPr>
        <w:t>供应商出具审计报告后，可向采购人提出书面付款申请，经采购人对审计成果审核无误后支付审计费。</w:t>
      </w:r>
    </w:p>
    <w:p w14:paraId="3DD11377">
      <w:pPr>
        <w:bidi w:val="0"/>
        <w:ind w:left="0" w:leftChars="0" w:firstLine="480" w:firstLineChars="200"/>
        <w:rPr>
          <w:rFonts w:hint="eastAsia"/>
          <w:b/>
          <w:sz w:val="36"/>
          <w:szCs w:val="36"/>
        </w:rPr>
      </w:pPr>
      <w:r>
        <w:rPr>
          <w:rFonts w:hint="eastAsia" w:ascii="宋体" w:hAnsi="宋体" w:eastAsia="宋体" w:cs="宋体"/>
        </w:rPr>
        <w:t>供应商当在付款前向采购人提供符合法律法规要求的增值税发票。</w:t>
      </w:r>
      <w:r>
        <w:rPr>
          <w:rFonts w:hint="eastAsia"/>
          <w:b/>
          <w:sz w:val="36"/>
          <w:szCs w:val="36"/>
        </w:rPr>
        <w:br w:type="page"/>
      </w:r>
    </w:p>
    <w:p w14:paraId="171BF91F">
      <w:pPr>
        <w:spacing w:line="360" w:lineRule="auto"/>
        <w:jc w:val="center"/>
        <w:outlineLvl w:val="0"/>
        <w:rPr>
          <w:b/>
          <w:sz w:val="36"/>
          <w:szCs w:val="36"/>
        </w:rPr>
      </w:pPr>
      <w:r>
        <w:rPr>
          <w:rFonts w:hint="eastAsia"/>
          <w:b/>
          <w:sz w:val="36"/>
          <w:szCs w:val="36"/>
        </w:rPr>
        <w:t xml:space="preserve">第六章  </w:t>
      </w:r>
      <w:r>
        <w:rPr>
          <w:b/>
          <w:sz w:val="36"/>
          <w:szCs w:val="36"/>
        </w:rPr>
        <w:t xml:space="preserve"> 拟签订的合同文本</w:t>
      </w:r>
      <w:bookmarkEnd w:id="720"/>
    </w:p>
    <w:p w14:paraId="43403325">
      <w:pPr>
        <w:rPr>
          <w:rFonts w:ascii="宋体" w:hAnsi="宋体"/>
          <w:b/>
          <w:sz w:val="44"/>
          <w:szCs w:val="44"/>
        </w:rPr>
      </w:pPr>
      <w:r>
        <w:rPr>
          <w:rFonts w:hint="eastAsia" w:ascii="仿宋_GB2312" w:hAnsi="仿宋" w:eastAsia="仿宋_GB2312" w:cs="Arial"/>
          <w:sz w:val="22"/>
          <w:szCs w:val="20"/>
        </w:rPr>
        <w:t xml:space="preserve">                                                      </w:t>
      </w:r>
    </w:p>
    <w:p w14:paraId="31324954">
      <w:pPr>
        <w:rPr>
          <w:sz w:val="32"/>
          <w:szCs w:val="32"/>
        </w:rPr>
      </w:pPr>
      <w:r>
        <w:rPr>
          <w:rFonts w:hint="eastAsia"/>
          <w:sz w:val="32"/>
          <w:szCs w:val="32"/>
        </w:rPr>
        <w:t xml:space="preserve">GF—2002—0212 </w:t>
      </w:r>
      <w:r>
        <w:rPr>
          <w:sz w:val="32"/>
          <w:szCs w:val="32"/>
        </w:rPr>
        <w:t xml:space="preserve">                </w:t>
      </w:r>
      <w:r>
        <w:rPr>
          <w:rFonts w:hint="eastAsia"/>
          <w:sz w:val="32"/>
          <w:szCs w:val="32"/>
        </w:rPr>
        <w:t xml:space="preserve">     合同编号：                </w:t>
      </w:r>
    </w:p>
    <w:p w14:paraId="2F3D253E">
      <w:pPr>
        <w:jc w:val="center"/>
        <w:rPr>
          <w:rFonts w:ascii="宋体" w:hAnsi="宋体"/>
          <w:b/>
          <w:sz w:val="28"/>
          <w:szCs w:val="28"/>
        </w:rPr>
      </w:pPr>
    </w:p>
    <w:p w14:paraId="274A8D3F">
      <w:pPr>
        <w:jc w:val="center"/>
        <w:rPr>
          <w:rFonts w:ascii="宋体" w:hAnsi="宋体"/>
          <w:b/>
          <w:sz w:val="28"/>
          <w:szCs w:val="28"/>
        </w:rPr>
      </w:pPr>
    </w:p>
    <w:p w14:paraId="2CDFE6B8">
      <w:pPr>
        <w:jc w:val="center"/>
        <w:rPr>
          <w:rFonts w:ascii="宋体" w:hAnsi="宋体"/>
          <w:b/>
          <w:sz w:val="28"/>
          <w:szCs w:val="28"/>
        </w:rPr>
      </w:pPr>
    </w:p>
    <w:p w14:paraId="1C523AC7">
      <w:pPr>
        <w:jc w:val="center"/>
        <w:rPr>
          <w:rFonts w:ascii="宋体" w:hAnsi="宋体"/>
          <w:b/>
          <w:sz w:val="36"/>
          <w:szCs w:val="36"/>
        </w:rPr>
      </w:pPr>
      <w:r>
        <w:rPr>
          <w:rFonts w:hint="eastAsia" w:ascii="宋体" w:hAnsi="宋体"/>
          <w:b/>
          <w:sz w:val="36"/>
          <w:szCs w:val="36"/>
        </w:rPr>
        <w:t>建设工程造价咨询合同</w:t>
      </w:r>
    </w:p>
    <w:p w14:paraId="22E10B13">
      <w:pPr>
        <w:jc w:val="center"/>
        <w:rPr>
          <w:rFonts w:ascii="宋体" w:hAnsi="宋体"/>
          <w:b/>
          <w:sz w:val="28"/>
          <w:szCs w:val="28"/>
        </w:rPr>
      </w:pPr>
    </w:p>
    <w:p w14:paraId="58718ECA">
      <w:pPr>
        <w:jc w:val="center"/>
        <w:rPr>
          <w:rFonts w:ascii="宋体" w:hAnsi="宋体"/>
          <w:b/>
          <w:sz w:val="28"/>
          <w:szCs w:val="28"/>
        </w:rPr>
      </w:pPr>
    </w:p>
    <w:p w14:paraId="18E76F9B">
      <w:pPr>
        <w:jc w:val="center"/>
        <w:rPr>
          <w:rFonts w:ascii="宋体" w:hAnsi="宋体"/>
          <w:b/>
          <w:sz w:val="28"/>
          <w:szCs w:val="28"/>
        </w:rPr>
      </w:pPr>
    </w:p>
    <w:p w14:paraId="50DA63B5">
      <w:pPr>
        <w:jc w:val="center"/>
        <w:rPr>
          <w:rFonts w:ascii="宋体" w:hAnsi="宋体"/>
          <w:b/>
          <w:sz w:val="28"/>
          <w:szCs w:val="28"/>
        </w:rPr>
      </w:pPr>
    </w:p>
    <w:p w14:paraId="62AADCAD">
      <w:pPr>
        <w:jc w:val="center"/>
        <w:rPr>
          <w:rFonts w:ascii="宋体" w:hAnsi="宋体"/>
          <w:b/>
          <w:sz w:val="28"/>
          <w:szCs w:val="28"/>
        </w:rPr>
      </w:pPr>
    </w:p>
    <w:p w14:paraId="56FD1023">
      <w:pPr>
        <w:jc w:val="center"/>
        <w:rPr>
          <w:rFonts w:ascii="宋体" w:hAnsi="宋体"/>
          <w:b/>
          <w:sz w:val="28"/>
          <w:szCs w:val="28"/>
        </w:rPr>
      </w:pPr>
    </w:p>
    <w:p w14:paraId="1B8D2CBC">
      <w:pPr>
        <w:jc w:val="center"/>
        <w:rPr>
          <w:rFonts w:ascii="宋体" w:hAnsi="宋体"/>
          <w:b/>
          <w:sz w:val="28"/>
          <w:szCs w:val="28"/>
        </w:rPr>
      </w:pPr>
    </w:p>
    <w:p w14:paraId="1506B2FB">
      <w:pPr>
        <w:jc w:val="center"/>
        <w:rPr>
          <w:rFonts w:ascii="宋体" w:hAnsi="宋体"/>
          <w:b/>
          <w:sz w:val="28"/>
          <w:szCs w:val="28"/>
        </w:rPr>
      </w:pPr>
    </w:p>
    <w:p w14:paraId="5B061606">
      <w:pPr>
        <w:jc w:val="center"/>
        <w:rPr>
          <w:rFonts w:ascii="宋体" w:hAnsi="宋体"/>
          <w:b/>
          <w:sz w:val="28"/>
          <w:szCs w:val="28"/>
        </w:rPr>
      </w:pPr>
    </w:p>
    <w:p w14:paraId="0596F242">
      <w:pPr>
        <w:jc w:val="center"/>
        <w:rPr>
          <w:rFonts w:ascii="宋体" w:hAnsi="宋体"/>
          <w:b/>
          <w:sz w:val="28"/>
          <w:szCs w:val="28"/>
        </w:rPr>
      </w:pPr>
    </w:p>
    <w:p w14:paraId="65FB81FE">
      <w:pPr>
        <w:jc w:val="center"/>
        <w:rPr>
          <w:rFonts w:ascii="宋体" w:hAnsi="宋体"/>
          <w:b/>
          <w:sz w:val="28"/>
          <w:szCs w:val="28"/>
        </w:rPr>
      </w:pPr>
    </w:p>
    <w:p w14:paraId="64809683">
      <w:pPr>
        <w:jc w:val="center"/>
        <w:rPr>
          <w:rFonts w:ascii="宋体" w:hAnsi="宋体"/>
          <w:b/>
          <w:sz w:val="28"/>
          <w:szCs w:val="28"/>
        </w:rPr>
      </w:pPr>
    </w:p>
    <w:tbl>
      <w:tblPr>
        <w:tblStyle w:val="51"/>
        <w:tblW w:w="5040" w:type="dxa"/>
        <w:tblInd w:w="2103" w:type="dxa"/>
        <w:tblLayout w:type="fixed"/>
        <w:tblCellMar>
          <w:top w:w="0" w:type="dxa"/>
          <w:left w:w="108" w:type="dxa"/>
          <w:bottom w:w="0" w:type="dxa"/>
          <w:right w:w="108" w:type="dxa"/>
        </w:tblCellMar>
      </w:tblPr>
      <w:tblGrid>
        <w:gridCol w:w="3990"/>
        <w:gridCol w:w="1050"/>
      </w:tblGrid>
      <w:tr w14:paraId="4C8B8C1D">
        <w:tblPrEx>
          <w:tblCellMar>
            <w:top w:w="0" w:type="dxa"/>
            <w:left w:w="108" w:type="dxa"/>
            <w:bottom w:w="0" w:type="dxa"/>
            <w:right w:w="108" w:type="dxa"/>
          </w:tblCellMar>
        </w:tblPrEx>
        <w:trPr>
          <w:cantSplit/>
        </w:trPr>
        <w:tc>
          <w:tcPr>
            <w:tcW w:w="3990" w:type="dxa"/>
          </w:tcPr>
          <w:p w14:paraId="3A3D34F7">
            <w:pPr>
              <w:spacing w:line="800" w:lineRule="exact"/>
              <w:jc w:val="center"/>
              <w:rPr>
                <w:rFonts w:ascii="宋体" w:hAnsi="宋体"/>
                <w:b/>
                <w:sz w:val="28"/>
                <w:szCs w:val="28"/>
              </w:rPr>
            </w:pPr>
            <w:r>
              <w:rPr>
                <w:rFonts w:hint="eastAsia" w:ascii="宋体" w:hAnsi="宋体"/>
                <w:b/>
                <w:sz w:val="28"/>
                <w:szCs w:val="28"/>
              </w:rPr>
              <w:t>中华人民共和国建设部</w:t>
            </w:r>
          </w:p>
        </w:tc>
        <w:tc>
          <w:tcPr>
            <w:tcW w:w="1050" w:type="dxa"/>
            <w:vMerge w:val="restart"/>
            <w:vAlign w:val="center"/>
          </w:tcPr>
          <w:p w14:paraId="1318E916">
            <w:pPr>
              <w:jc w:val="center"/>
              <w:rPr>
                <w:rFonts w:ascii="宋体" w:hAnsi="宋体"/>
                <w:b/>
                <w:sz w:val="28"/>
                <w:szCs w:val="28"/>
              </w:rPr>
            </w:pPr>
            <w:r>
              <w:rPr>
                <w:rFonts w:hint="eastAsia" w:ascii="宋体" w:hAnsi="宋体"/>
                <w:b/>
                <w:sz w:val="28"/>
                <w:szCs w:val="28"/>
              </w:rPr>
              <w:t>制定</w:t>
            </w:r>
          </w:p>
        </w:tc>
      </w:tr>
      <w:tr w14:paraId="6BD9B838">
        <w:tblPrEx>
          <w:tblCellMar>
            <w:top w:w="0" w:type="dxa"/>
            <w:left w:w="108" w:type="dxa"/>
            <w:bottom w:w="0" w:type="dxa"/>
            <w:right w:w="108" w:type="dxa"/>
          </w:tblCellMar>
        </w:tblPrEx>
        <w:trPr>
          <w:cantSplit/>
        </w:trPr>
        <w:tc>
          <w:tcPr>
            <w:tcW w:w="3990" w:type="dxa"/>
          </w:tcPr>
          <w:p w14:paraId="3FA9B698">
            <w:pPr>
              <w:spacing w:line="800" w:lineRule="exact"/>
              <w:jc w:val="center"/>
              <w:rPr>
                <w:rFonts w:ascii="宋体" w:hAnsi="宋体"/>
                <w:b/>
                <w:sz w:val="28"/>
                <w:szCs w:val="28"/>
              </w:rPr>
            </w:pPr>
            <w:r>
              <w:rPr>
                <w:rFonts w:hint="eastAsia" w:ascii="宋体" w:hAnsi="宋体"/>
                <w:b/>
                <w:sz w:val="28"/>
                <w:szCs w:val="28"/>
              </w:rPr>
              <w:t>国家工商行政管理总局</w:t>
            </w:r>
          </w:p>
        </w:tc>
        <w:tc>
          <w:tcPr>
            <w:tcW w:w="1050" w:type="dxa"/>
            <w:vMerge w:val="continue"/>
          </w:tcPr>
          <w:p w14:paraId="38ABAAE7">
            <w:pPr>
              <w:jc w:val="center"/>
              <w:rPr>
                <w:rFonts w:ascii="宋体" w:hAnsi="宋体"/>
                <w:b/>
                <w:sz w:val="28"/>
                <w:szCs w:val="28"/>
              </w:rPr>
            </w:pPr>
          </w:p>
        </w:tc>
      </w:tr>
    </w:tbl>
    <w:p w14:paraId="3D419003">
      <w:pPr>
        <w:tabs>
          <w:tab w:val="left" w:pos="1890"/>
        </w:tabs>
        <w:jc w:val="center"/>
        <w:rPr>
          <w:rFonts w:ascii="宋体" w:hAnsi="宋体"/>
          <w:b/>
          <w:sz w:val="28"/>
          <w:szCs w:val="28"/>
        </w:rPr>
      </w:pPr>
    </w:p>
    <w:p w14:paraId="51FC9536">
      <w:pPr>
        <w:tabs>
          <w:tab w:val="left" w:pos="1890"/>
        </w:tabs>
        <w:jc w:val="center"/>
        <w:rPr>
          <w:rFonts w:ascii="宋体" w:hAnsi="宋体"/>
          <w:b/>
          <w:sz w:val="28"/>
          <w:szCs w:val="28"/>
        </w:rPr>
      </w:pPr>
    </w:p>
    <w:p w14:paraId="2025D724">
      <w:pPr>
        <w:tabs>
          <w:tab w:val="left" w:pos="1890"/>
        </w:tabs>
        <w:jc w:val="center"/>
        <w:rPr>
          <w:rFonts w:ascii="黑体" w:hAnsi="宋体" w:eastAsia="黑体"/>
          <w:b/>
          <w:sz w:val="28"/>
          <w:szCs w:val="28"/>
        </w:rPr>
      </w:pPr>
    </w:p>
    <w:p w14:paraId="2383DE30">
      <w:pPr>
        <w:rPr>
          <w:rFonts w:hint="eastAsia" w:ascii="黑体" w:hAnsi="宋体" w:eastAsia="黑体"/>
          <w:b/>
          <w:sz w:val="32"/>
          <w:szCs w:val="32"/>
        </w:rPr>
      </w:pPr>
      <w:r>
        <w:rPr>
          <w:rFonts w:hint="eastAsia" w:ascii="黑体" w:hAnsi="宋体" w:eastAsia="黑体"/>
          <w:b/>
          <w:sz w:val="32"/>
          <w:szCs w:val="32"/>
        </w:rPr>
        <w:br w:type="page"/>
      </w:r>
    </w:p>
    <w:p w14:paraId="05BF659D">
      <w:pPr>
        <w:tabs>
          <w:tab w:val="left" w:pos="1890"/>
        </w:tabs>
        <w:jc w:val="center"/>
        <w:rPr>
          <w:rFonts w:hint="eastAsia" w:ascii="宋体" w:hAnsi="宋体" w:eastAsia="宋体" w:cs="宋体"/>
          <w:b/>
          <w:sz w:val="28"/>
          <w:szCs w:val="28"/>
        </w:rPr>
      </w:pPr>
      <w:r>
        <w:rPr>
          <w:rFonts w:hint="eastAsia" w:ascii="宋体" w:hAnsi="宋体" w:eastAsia="宋体" w:cs="宋体"/>
          <w:b/>
          <w:sz w:val="28"/>
          <w:szCs w:val="28"/>
        </w:rPr>
        <w:t>第一部分  建设工程造价咨询合同</w:t>
      </w:r>
    </w:p>
    <w:p w14:paraId="22DAF48B">
      <w:pPr>
        <w:tabs>
          <w:tab w:val="left" w:pos="1890"/>
        </w:tabs>
        <w:rPr>
          <w:rFonts w:ascii="宋体" w:hAnsi="宋体"/>
          <w:bCs/>
          <w:sz w:val="28"/>
          <w:szCs w:val="28"/>
        </w:rPr>
      </w:pPr>
    </w:p>
    <w:p w14:paraId="64678A77">
      <w:pPr>
        <w:tabs>
          <w:tab w:val="left" w:pos="1890"/>
        </w:tabs>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委托人：</w:t>
      </w:r>
      <w:r>
        <w:rPr>
          <w:rFonts w:hint="eastAsia" w:ascii="宋体" w:hAnsi="宋体" w:eastAsia="宋体" w:cs="宋体"/>
          <w:bCs/>
          <w:sz w:val="24"/>
          <w:szCs w:val="24"/>
          <w:u w:val="single"/>
        </w:rPr>
        <w:t>北京市海淀区环境卫生服务中心</w:t>
      </w:r>
    </w:p>
    <w:p w14:paraId="59E29C3F">
      <w:pPr>
        <w:tabs>
          <w:tab w:val="left" w:pos="1890"/>
        </w:tabs>
        <w:spacing w:line="360" w:lineRule="auto"/>
        <w:rPr>
          <w:rFonts w:hint="eastAsia" w:ascii="宋体" w:hAnsi="宋体" w:eastAsia="宋体" w:cs="宋体"/>
          <w:bCs/>
          <w:sz w:val="24"/>
          <w:szCs w:val="24"/>
          <w:u w:val="none"/>
          <w:lang w:val="en-US" w:eastAsia="zh-CN"/>
        </w:rPr>
      </w:pPr>
      <w:r>
        <w:rPr>
          <w:rFonts w:hint="eastAsia" w:ascii="宋体" w:hAnsi="宋体" w:eastAsia="宋体" w:cs="宋体"/>
          <w:bCs/>
          <w:sz w:val="24"/>
          <w:szCs w:val="24"/>
        </w:rPr>
        <w:t>咨询人：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none"/>
          <w:lang w:val="en-US" w:eastAsia="zh-CN"/>
        </w:rPr>
        <w:t xml:space="preserve">          </w:t>
      </w:r>
    </w:p>
    <w:p w14:paraId="034F34F4">
      <w:pPr>
        <w:tabs>
          <w:tab w:val="left" w:pos="1890"/>
        </w:tabs>
        <w:spacing w:line="360" w:lineRule="auto"/>
        <w:ind w:firstLine="960" w:firstLineChars="400"/>
        <w:rPr>
          <w:rFonts w:hint="eastAsia" w:ascii="宋体" w:hAnsi="宋体" w:eastAsia="宋体" w:cs="宋体"/>
          <w:bCs/>
          <w:sz w:val="24"/>
          <w:szCs w:val="24"/>
          <w:u w:val="single"/>
          <w:lang w:val="en-US" w:eastAsia="zh-CN"/>
        </w:rPr>
      </w:pPr>
    </w:p>
    <w:p w14:paraId="05127502">
      <w:pPr>
        <w:tabs>
          <w:tab w:val="left" w:pos="1890"/>
        </w:tabs>
        <w:spacing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（以下简称委托人）与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（以下简称咨询人）经过双方协商一致，签订本合同。</w:t>
      </w:r>
    </w:p>
    <w:p w14:paraId="4FBF5051">
      <w:pPr>
        <w:tabs>
          <w:tab w:val="left" w:pos="1890"/>
        </w:tabs>
        <w:spacing w:line="360" w:lineRule="auto"/>
        <w:rPr>
          <w:rFonts w:hint="eastAsia" w:ascii="宋体" w:hAnsi="宋体" w:eastAsia="宋体" w:cs="宋体"/>
          <w:b w:val="0"/>
          <w:bCs/>
          <w:sz w:val="24"/>
          <w:szCs w:val="24"/>
        </w:rPr>
      </w:pPr>
    </w:p>
    <w:p w14:paraId="39BA4FD9">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一、委托人委托咨询人为以下项目提供建设工程造价咨询服务。</w:t>
      </w:r>
    </w:p>
    <w:p w14:paraId="602AC97B">
      <w:pPr>
        <w:tabs>
          <w:tab w:val="left" w:pos="1890"/>
        </w:tabs>
        <w:spacing w:line="360" w:lineRule="auto"/>
        <w:ind w:left="2520" w:hanging="2160" w:hangingChars="900"/>
        <w:rPr>
          <w:rFonts w:hint="eastAsia" w:ascii="宋体" w:hAnsi="宋体" w:eastAsia="宋体" w:cs="宋体"/>
          <w:b w:val="0"/>
          <w:bCs/>
          <w:sz w:val="24"/>
          <w:szCs w:val="24"/>
          <w:u w:val="single"/>
        </w:rPr>
      </w:pPr>
      <w:r>
        <w:rPr>
          <w:rFonts w:hint="eastAsia" w:ascii="宋体" w:hAnsi="宋体" w:eastAsia="宋体" w:cs="宋体"/>
          <w:b w:val="0"/>
          <w:bCs/>
          <w:sz w:val="24"/>
          <w:szCs w:val="24"/>
        </w:rPr>
        <w:t xml:space="preserve">    1、项目名称：</w:t>
      </w:r>
      <w:r>
        <w:rPr>
          <w:rFonts w:hint="eastAsia" w:ascii="宋体" w:hAnsi="宋体" w:eastAsia="宋体" w:cs="宋体"/>
          <w:b w:val="0"/>
          <w:bCs/>
          <w:sz w:val="24"/>
          <w:szCs w:val="24"/>
          <w:u w:val="single"/>
        </w:rPr>
        <w:t>2025年环卫中心基建维修项目结算审计</w:t>
      </w:r>
    </w:p>
    <w:p w14:paraId="2EBF01DB">
      <w:pPr>
        <w:tabs>
          <w:tab w:val="left" w:pos="1890"/>
        </w:tabs>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    2、服务类别：</w:t>
      </w:r>
      <w:r>
        <w:rPr>
          <w:rFonts w:hint="eastAsia" w:ascii="宋体" w:hAnsi="宋体" w:eastAsia="宋体" w:cs="宋体"/>
          <w:b w:val="0"/>
          <w:bCs/>
          <w:sz w:val="24"/>
          <w:szCs w:val="24"/>
          <w:u w:val="single"/>
        </w:rPr>
        <w:t xml:space="preserve">    结算审计     </w:t>
      </w:r>
    </w:p>
    <w:p w14:paraId="1FCDBE5C">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二、本合同的措词和用语与所属建设工程造价咨询合同条件及有关附件同义。</w:t>
      </w:r>
    </w:p>
    <w:p w14:paraId="61C20432">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三、下列文件均为本合同的组成部分：</w:t>
      </w:r>
    </w:p>
    <w:p w14:paraId="1C3BA369">
      <w:pPr>
        <w:tabs>
          <w:tab w:val="left" w:pos="1890"/>
        </w:tabs>
        <w:spacing w:line="360" w:lineRule="auto"/>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1、建设工程造价咨询合同标准条件；</w:t>
      </w:r>
    </w:p>
    <w:p w14:paraId="17325302">
      <w:pPr>
        <w:tabs>
          <w:tab w:val="left" w:pos="1890"/>
        </w:tabs>
        <w:spacing w:line="360" w:lineRule="auto"/>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2、建设工程造价咨询合同专用条件；</w:t>
      </w:r>
    </w:p>
    <w:p w14:paraId="06487ACF">
      <w:pPr>
        <w:tabs>
          <w:tab w:val="left" w:pos="1890"/>
        </w:tabs>
        <w:spacing w:line="360" w:lineRule="auto"/>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3、建设工程造价咨询合同执行中共同签署的补充与修正文件。</w:t>
      </w:r>
    </w:p>
    <w:p w14:paraId="5B994814">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四、咨询人同意按本合同的规定，承担本合同专用条件中议定范围内的建设工程造价咨询业务。</w:t>
      </w:r>
    </w:p>
    <w:p w14:paraId="5E5CC952">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五、委托人同意按照本合同规定的期限、方式、币种 、额度向咨询人支付酬金。</w:t>
      </w:r>
    </w:p>
    <w:p w14:paraId="21467FDC">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六、本合同的建设工程造价咨询业务自合同签订开始实施，自编制完成终结。</w:t>
      </w:r>
    </w:p>
    <w:p w14:paraId="49FA557B">
      <w:pPr>
        <w:keepNext w:val="0"/>
        <w:keepLines w:val="0"/>
        <w:pageBreakBefore w:val="0"/>
        <w:widowControl w:val="0"/>
        <w:tabs>
          <w:tab w:val="left" w:pos="1890"/>
        </w:tabs>
        <w:kinsoku/>
        <w:wordWrap/>
        <w:overflowPunct/>
        <w:topLinePunct w:val="0"/>
        <w:autoSpaceDE/>
        <w:autoSpaceDN/>
        <w:bidi w:val="0"/>
        <w:adjustRightInd/>
        <w:snapToGrid/>
        <w:spacing w:line="401"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七、本合同一式  陆  份，具有同等法律效力。</w:t>
      </w:r>
    </w:p>
    <w:p w14:paraId="3AAB8253">
      <w:pPr>
        <w:rPr>
          <w:rFonts w:hint="eastAsia" w:ascii="宋体" w:hAnsi="宋体"/>
          <w:b w:val="0"/>
          <w:bCs/>
          <w:sz w:val="24"/>
          <w:szCs w:val="24"/>
        </w:rPr>
      </w:pPr>
      <w:r>
        <w:rPr>
          <w:rFonts w:hint="eastAsia" w:ascii="宋体" w:hAnsi="宋体"/>
          <w:b w:val="0"/>
          <w:bCs/>
          <w:sz w:val="24"/>
          <w:szCs w:val="24"/>
        </w:rPr>
        <w:br w:type="page"/>
      </w:r>
    </w:p>
    <w:p w14:paraId="6725CEAD">
      <w:pPr>
        <w:tabs>
          <w:tab w:val="left" w:pos="1890"/>
        </w:tabs>
        <w:spacing w:line="360" w:lineRule="auto"/>
        <w:ind w:left="5600" w:hanging="4800" w:hangingChars="2000"/>
        <w:rPr>
          <w:rFonts w:ascii="宋体" w:hAnsi="宋体"/>
          <w:bCs/>
          <w:sz w:val="24"/>
          <w:szCs w:val="24"/>
        </w:rPr>
      </w:pPr>
      <w:r>
        <w:rPr>
          <w:rFonts w:hint="eastAsia" w:ascii="宋体" w:hAnsi="宋体"/>
          <w:bCs/>
          <w:sz w:val="24"/>
          <w:szCs w:val="24"/>
        </w:rPr>
        <w:t>委托人：（盖章）                  咨询人：</w:t>
      </w:r>
    </w:p>
    <w:p w14:paraId="2074D33F">
      <w:pPr>
        <w:spacing w:line="360" w:lineRule="auto"/>
        <w:ind w:left="4628" w:hanging="3967" w:hangingChars="1653"/>
        <w:jc w:val="left"/>
        <w:rPr>
          <w:rFonts w:ascii="宋体" w:hAnsi="宋体"/>
          <w:color w:val="000000"/>
          <w:sz w:val="24"/>
          <w:szCs w:val="24"/>
        </w:rPr>
      </w:pPr>
      <w:r>
        <w:rPr>
          <w:rFonts w:hint="eastAsia" w:ascii="宋体" w:hAnsi="宋体"/>
          <w:bCs/>
          <w:sz w:val="24"/>
          <w:szCs w:val="24"/>
        </w:rPr>
        <w:t>地址：                            地址：</w:t>
      </w:r>
    </w:p>
    <w:p w14:paraId="0EF82ECB">
      <w:pPr>
        <w:tabs>
          <w:tab w:val="left" w:pos="1890"/>
        </w:tabs>
        <w:spacing w:line="360" w:lineRule="auto"/>
        <w:rPr>
          <w:rFonts w:ascii="宋体" w:hAnsi="宋体"/>
          <w:bCs/>
          <w:sz w:val="24"/>
          <w:szCs w:val="24"/>
        </w:rPr>
      </w:pPr>
      <w:r>
        <w:rPr>
          <w:rFonts w:hint="eastAsia" w:ascii="宋体" w:hAnsi="宋体"/>
          <w:bCs/>
          <w:sz w:val="24"/>
          <w:szCs w:val="24"/>
        </w:rPr>
        <w:t>法定代表人：（签字）               法定代表人：（签字）</w:t>
      </w:r>
    </w:p>
    <w:p w14:paraId="14119CA4">
      <w:pPr>
        <w:tabs>
          <w:tab w:val="left" w:pos="1890"/>
        </w:tabs>
        <w:spacing w:line="360" w:lineRule="auto"/>
        <w:rPr>
          <w:rFonts w:ascii="宋体" w:hAnsi="宋体"/>
          <w:bCs/>
          <w:sz w:val="24"/>
          <w:szCs w:val="24"/>
        </w:rPr>
      </w:pPr>
      <w:r>
        <w:rPr>
          <w:rFonts w:hint="eastAsia" w:ascii="宋体" w:hAnsi="宋体"/>
          <w:bCs/>
          <w:sz w:val="24"/>
          <w:szCs w:val="24"/>
        </w:rPr>
        <w:t>或委托代理人：（签字）             或委托代理人：（签字）</w:t>
      </w:r>
    </w:p>
    <w:p w14:paraId="419F76D9">
      <w:pPr>
        <w:tabs>
          <w:tab w:val="left" w:pos="1890"/>
        </w:tabs>
        <w:spacing w:line="360" w:lineRule="auto"/>
        <w:rPr>
          <w:rFonts w:ascii="宋体" w:hAnsi="宋体"/>
          <w:bCs/>
          <w:sz w:val="24"/>
          <w:szCs w:val="24"/>
        </w:rPr>
      </w:pPr>
      <w:r>
        <w:rPr>
          <w:rFonts w:hint="eastAsia" w:ascii="宋体" w:hAnsi="宋体"/>
          <w:bCs/>
          <w:sz w:val="24"/>
          <w:szCs w:val="24"/>
        </w:rPr>
        <w:t>电话：                            电话：</w:t>
      </w:r>
    </w:p>
    <w:p w14:paraId="21D82CCF">
      <w:pPr>
        <w:tabs>
          <w:tab w:val="left" w:pos="1890"/>
        </w:tabs>
        <w:spacing w:line="360" w:lineRule="auto"/>
        <w:rPr>
          <w:rFonts w:ascii="宋体" w:hAnsi="宋体"/>
          <w:bCs/>
          <w:sz w:val="24"/>
          <w:szCs w:val="24"/>
        </w:rPr>
      </w:pPr>
      <w:r>
        <w:rPr>
          <w:rFonts w:hint="eastAsia" w:ascii="宋体" w:hAnsi="宋体"/>
          <w:bCs/>
          <w:sz w:val="24"/>
          <w:szCs w:val="24"/>
        </w:rPr>
        <w:t>传真：                            传真：</w:t>
      </w:r>
    </w:p>
    <w:p w14:paraId="6A03F1B3">
      <w:pPr>
        <w:tabs>
          <w:tab w:val="left" w:pos="1890"/>
        </w:tabs>
        <w:spacing w:line="360" w:lineRule="auto"/>
        <w:ind w:left="6160" w:hanging="5280" w:hangingChars="2200"/>
        <w:rPr>
          <w:rFonts w:ascii="宋体" w:hAnsi="宋体"/>
          <w:bCs/>
          <w:sz w:val="24"/>
          <w:szCs w:val="24"/>
        </w:rPr>
      </w:pPr>
      <w:r>
        <w:rPr>
          <w:rFonts w:hint="eastAsia" w:ascii="宋体" w:hAnsi="宋体"/>
          <w:bCs/>
          <w:sz w:val="24"/>
          <w:szCs w:val="24"/>
        </w:rPr>
        <w:t>开户银行：                        开户银行：</w:t>
      </w:r>
    </w:p>
    <w:p w14:paraId="191DDFFE">
      <w:pPr>
        <w:tabs>
          <w:tab w:val="left" w:pos="1890"/>
        </w:tabs>
        <w:spacing w:line="360" w:lineRule="auto"/>
        <w:rPr>
          <w:rFonts w:ascii="宋体" w:hAnsi="宋体"/>
          <w:bCs/>
          <w:sz w:val="24"/>
          <w:szCs w:val="24"/>
        </w:rPr>
      </w:pPr>
      <w:r>
        <w:rPr>
          <w:rFonts w:hint="eastAsia" w:ascii="宋体" w:hAnsi="宋体"/>
          <w:bCs/>
          <w:sz w:val="24"/>
          <w:szCs w:val="24"/>
        </w:rPr>
        <w:t>帐号：                            帐号：</w:t>
      </w:r>
    </w:p>
    <w:p w14:paraId="3131A5DA">
      <w:pPr>
        <w:tabs>
          <w:tab w:val="left" w:pos="1890"/>
        </w:tabs>
        <w:spacing w:line="360" w:lineRule="auto"/>
        <w:rPr>
          <w:rFonts w:ascii="宋体" w:hAnsi="宋体"/>
          <w:bCs/>
          <w:sz w:val="24"/>
          <w:szCs w:val="24"/>
        </w:rPr>
      </w:pPr>
      <w:r>
        <w:rPr>
          <w:rFonts w:hint="eastAsia" w:ascii="宋体" w:hAnsi="宋体"/>
          <w:bCs/>
          <w:sz w:val="24"/>
          <w:szCs w:val="24"/>
        </w:rPr>
        <w:t xml:space="preserve">邮政编码：                        邮政编码： </w:t>
      </w:r>
    </w:p>
    <w:p w14:paraId="7C9B7914">
      <w:pPr>
        <w:tabs>
          <w:tab w:val="left" w:pos="1890"/>
        </w:tabs>
        <w:ind w:firstLine="570"/>
        <w:rPr>
          <w:rFonts w:ascii="宋体" w:hAnsi="宋体"/>
          <w:bCs/>
          <w:sz w:val="24"/>
          <w:szCs w:val="24"/>
        </w:rPr>
      </w:pPr>
    </w:p>
    <w:p w14:paraId="55678E87">
      <w:pPr>
        <w:tabs>
          <w:tab w:val="left" w:pos="1890"/>
        </w:tabs>
        <w:ind w:firstLine="570"/>
        <w:rPr>
          <w:rFonts w:ascii="宋体" w:hAnsi="宋体"/>
          <w:bCs/>
          <w:sz w:val="24"/>
          <w:szCs w:val="24"/>
        </w:rPr>
      </w:pPr>
    </w:p>
    <w:p w14:paraId="799EF160">
      <w:pPr>
        <w:tabs>
          <w:tab w:val="left" w:pos="1890"/>
        </w:tabs>
        <w:ind w:firstLine="570"/>
        <w:rPr>
          <w:rFonts w:ascii="宋体" w:hAnsi="宋体"/>
          <w:bCs/>
          <w:sz w:val="24"/>
          <w:szCs w:val="24"/>
        </w:rPr>
      </w:pPr>
    </w:p>
    <w:p w14:paraId="18FAB95B">
      <w:pPr>
        <w:tabs>
          <w:tab w:val="left" w:pos="1890"/>
        </w:tabs>
        <w:ind w:firstLine="480" w:firstLineChars="200"/>
        <w:rPr>
          <w:rFonts w:ascii="宋体" w:hAnsi="宋体"/>
          <w:bCs/>
          <w:sz w:val="24"/>
          <w:szCs w:val="24"/>
        </w:rPr>
      </w:pPr>
      <w:r>
        <w:rPr>
          <w:rFonts w:hint="eastAsia" w:ascii="宋体" w:hAnsi="宋体"/>
          <w:bCs/>
          <w:sz w:val="24"/>
          <w:szCs w:val="24"/>
        </w:rPr>
        <w:t xml:space="preserve">年   月   日                </w:t>
      </w:r>
      <w:r>
        <w:rPr>
          <w:rFonts w:ascii="宋体" w:hAnsi="宋体"/>
          <w:bCs/>
          <w:sz w:val="24"/>
          <w:szCs w:val="24"/>
        </w:rPr>
        <w:t xml:space="preserve">  </w:t>
      </w:r>
      <w:r>
        <w:rPr>
          <w:rFonts w:hint="eastAsia" w:ascii="宋体" w:hAnsi="宋体"/>
          <w:bCs/>
          <w:sz w:val="24"/>
          <w:szCs w:val="24"/>
        </w:rPr>
        <w:t xml:space="preserve">   年     月    日</w:t>
      </w:r>
    </w:p>
    <w:p w14:paraId="63C00B6D">
      <w:pPr>
        <w:tabs>
          <w:tab w:val="left" w:pos="1890"/>
        </w:tabs>
        <w:ind w:firstLine="1684" w:firstLineChars="702"/>
        <w:rPr>
          <w:rFonts w:ascii="宋体" w:hAnsi="宋体"/>
          <w:bCs/>
          <w:sz w:val="24"/>
          <w:szCs w:val="24"/>
        </w:rPr>
      </w:pPr>
      <w:r>
        <w:rPr>
          <w:rFonts w:hint="eastAsia" w:ascii="宋体" w:hAnsi="宋体"/>
          <w:bCs/>
          <w:sz w:val="24"/>
          <w:szCs w:val="24"/>
        </w:rPr>
        <w:t xml:space="preserve"> </w:t>
      </w:r>
    </w:p>
    <w:p w14:paraId="11AC9756">
      <w:pPr>
        <w:tabs>
          <w:tab w:val="left" w:pos="1890"/>
        </w:tabs>
        <w:jc w:val="center"/>
        <w:rPr>
          <w:rFonts w:ascii="宋体" w:hAnsi="宋体"/>
          <w:b/>
          <w:sz w:val="28"/>
          <w:szCs w:val="28"/>
        </w:rPr>
      </w:pPr>
    </w:p>
    <w:p w14:paraId="5189F6B0">
      <w:pPr>
        <w:tabs>
          <w:tab w:val="left" w:pos="1890"/>
        </w:tabs>
        <w:jc w:val="center"/>
        <w:rPr>
          <w:rFonts w:ascii="宋体" w:hAnsi="宋体"/>
          <w:b/>
          <w:sz w:val="28"/>
          <w:szCs w:val="28"/>
        </w:rPr>
      </w:pPr>
    </w:p>
    <w:p w14:paraId="3DE06C63">
      <w:pPr>
        <w:tabs>
          <w:tab w:val="left" w:pos="1890"/>
        </w:tabs>
        <w:jc w:val="center"/>
        <w:rPr>
          <w:rFonts w:ascii="宋体" w:hAnsi="宋体"/>
          <w:b/>
          <w:sz w:val="28"/>
          <w:szCs w:val="28"/>
        </w:rPr>
      </w:pPr>
    </w:p>
    <w:p w14:paraId="66FEC4E5">
      <w:pPr>
        <w:tabs>
          <w:tab w:val="left" w:pos="1890"/>
        </w:tabs>
        <w:jc w:val="center"/>
        <w:rPr>
          <w:rFonts w:ascii="黑体" w:hAnsi="宋体" w:eastAsia="黑体"/>
          <w:bCs/>
          <w:sz w:val="32"/>
          <w:szCs w:val="32"/>
        </w:rPr>
      </w:pPr>
    </w:p>
    <w:p w14:paraId="06A36E75">
      <w:pPr>
        <w:rPr>
          <w:rFonts w:ascii="黑体" w:hAnsi="宋体" w:eastAsia="黑体"/>
          <w:bCs/>
          <w:sz w:val="32"/>
          <w:szCs w:val="32"/>
        </w:rPr>
      </w:pPr>
      <w:r>
        <w:rPr>
          <w:rFonts w:ascii="黑体" w:hAnsi="宋体" w:eastAsia="黑体"/>
          <w:bCs/>
          <w:sz w:val="32"/>
          <w:szCs w:val="32"/>
        </w:rPr>
        <w:br w:type="page"/>
      </w:r>
    </w:p>
    <w:p w14:paraId="51EA448F">
      <w:pPr>
        <w:tabs>
          <w:tab w:val="left" w:pos="1890"/>
        </w:tabs>
        <w:jc w:val="center"/>
        <w:rPr>
          <w:rFonts w:ascii="黑体" w:hAnsi="宋体" w:eastAsia="黑体"/>
          <w:bCs/>
          <w:sz w:val="32"/>
          <w:szCs w:val="32"/>
        </w:rPr>
      </w:pPr>
    </w:p>
    <w:p w14:paraId="47541F8D">
      <w:pPr>
        <w:tabs>
          <w:tab w:val="left" w:pos="1890"/>
        </w:tabs>
        <w:spacing w:line="480"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t>第二部分    建设工程造价咨询合同标准条件</w:t>
      </w:r>
    </w:p>
    <w:p w14:paraId="74753810">
      <w:pPr>
        <w:spacing w:line="480" w:lineRule="auto"/>
        <w:jc w:val="center"/>
        <w:rPr>
          <w:rFonts w:hint="eastAsia" w:ascii="宋体" w:hAnsi="宋体" w:eastAsia="宋体" w:cs="宋体"/>
          <w:bCs/>
          <w:sz w:val="24"/>
          <w:szCs w:val="24"/>
        </w:rPr>
      </w:pPr>
      <w:r>
        <w:rPr>
          <w:rFonts w:hint="eastAsia" w:ascii="宋体" w:hAnsi="宋体" w:eastAsia="宋体" w:cs="宋体"/>
          <w:bCs/>
          <w:sz w:val="24"/>
          <w:szCs w:val="24"/>
        </w:rPr>
        <w:t>词语定义、适用语言和法律、法规</w:t>
      </w:r>
    </w:p>
    <w:p w14:paraId="49665B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  下列名词和用语，除上下文另有规定外具有如下含义。</w:t>
      </w:r>
    </w:p>
    <w:p w14:paraId="267AE5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1、“委托人”是指委托建设工程造价咨询业务和聘用工程造价咨询单位的一方，以及其合法继承人。</w:t>
      </w:r>
    </w:p>
    <w:p w14:paraId="61FD69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2、“咨询人”是指承担建设工程造价咨询业务和工程造价咨询责任的一方，以及其合法继承人。</w:t>
      </w:r>
    </w:p>
    <w:p w14:paraId="51D3E4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3、“第三人”是指除委托人、咨询人以外本咨询业务有关的当事人。</w:t>
      </w:r>
    </w:p>
    <w:p w14:paraId="3A10F8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4、“日”是指任何一天零时至第二天零时的时间段。</w:t>
      </w:r>
    </w:p>
    <w:p w14:paraId="28065D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第二条  建设工程造价咨询合同适用的是中国的法律、法规，以及专用条件中议定的部门规章、工程造价有关计价办法和规定或项目所在地的地方法规、地方规章。</w:t>
      </w:r>
    </w:p>
    <w:p w14:paraId="13F68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第三条  建设工程造价咨询合同的书写、解释和说明，以汉语为主导语言。当不同语言文本发生不同解释时，以汉语合同文本为准。</w:t>
      </w:r>
    </w:p>
    <w:p w14:paraId="0727622E">
      <w:pPr>
        <w:jc w:val="center"/>
        <w:rPr>
          <w:rFonts w:hint="eastAsia" w:ascii="宋体" w:hAnsi="宋体" w:eastAsia="宋体" w:cs="宋体"/>
          <w:b/>
          <w:bCs w:val="0"/>
          <w:sz w:val="28"/>
          <w:szCs w:val="28"/>
        </w:rPr>
      </w:pPr>
      <w:r>
        <w:rPr>
          <w:rFonts w:hint="eastAsia" w:ascii="宋体" w:hAnsi="宋体" w:eastAsia="宋体" w:cs="宋体"/>
          <w:b/>
          <w:bCs w:val="0"/>
          <w:sz w:val="28"/>
          <w:szCs w:val="28"/>
        </w:rPr>
        <w:t>咨询人的义务</w:t>
      </w:r>
    </w:p>
    <w:p w14:paraId="4420D9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第四条  向委托人提供与工程造价咨询业务有关的资料，包括工程造价咨询的资质证书及承担本合同业务的专业人员名单、咨询工作计划等，并按合同专用条件中约定的范围实施咨询业务。</w:t>
      </w:r>
    </w:p>
    <w:p w14:paraId="687E0C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第五条  咨询人在履行合同期间，向委托人提供的服务包括正常服务、附加服务和额外服务。</w:t>
      </w:r>
    </w:p>
    <w:p w14:paraId="0502B4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1、“正常服务”是指双方在专用条件中约定的工程造价咨询工作；</w:t>
      </w:r>
    </w:p>
    <w:p w14:paraId="3F54B5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2、“附加服务”是指在“正常服务”以外，经双方书面协议确定的附加服务。</w:t>
      </w:r>
    </w:p>
    <w:p w14:paraId="500894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3、“额外服务”是指不属于“正常服务”和“附加服务”，但根据合同标准条件第十三条、第二十条和第二十二条的规定，咨询人应增加的额外工作量。</w:t>
      </w:r>
    </w:p>
    <w:p w14:paraId="73500BFB">
      <w:pPr>
        <w:spacing w:line="360" w:lineRule="auto"/>
        <w:ind w:firstLine="480" w:firstLineChars="200"/>
        <w:rPr>
          <w:rFonts w:ascii="宋体" w:hAnsi="宋体"/>
          <w:b/>
          <w:sz w:val="28"/>
          <w:szCs w:val="28"/>
        </w:rPr>
      </w:pPr>
      <w:r>
        <w:rPr>
          <w:rFonts w:hint="eastAsia" w:ascii="宋体" w:hAnsi="宋体" w:eastAsia="宋体" w:cs="宋体"/>
          <w:sz w:val="24"/>
          <w:szCs w:val="24"/>
        </w:rPr>
        <w:t>第六条  在履行合同期间或合同规定期限内，不得泄露与本合同规定业务活动有关的保密资料。</w:t>
      </w:r>
    </w:p>
    <w:p w14:paraId="09AC2378">
      <w:pPr>
        <w:rPr>
          <w:rFonts w:hint="eastAsia" w:ascii="宋体" w:hAnsi="宋体" w:eastAsia="宋体" w:cs="宋体"/>
          <w:b/>
          <w:bCs w:val="0"/>
          <w:sz w:val="28"/>
          <w:szCs w:val="28"/>
        </w:rPr>
      </w:pPr>
      <w:r>
        <w:rPr>
          <w:rFonts w:hint="eastAsia" w:ascii="宋体" w:hAnsi="宋体" w:eastAsia="宋体" w:cs="宋体"/>
          <w:b/>
          <w:bCs w:val="0"/>
          <w:sz w:val="28"/>
          <w:szCs w:val="28"/>
        </w:rPr>
        <w:br w:type="page"/>
      </w:r>
    </w:p>
    <w:p w14:paraId="3DB7B2F8">
      <w:pPr>
        <w:jc w:val="center"/>
        <w:rPr>
          <w:rFonts w:hint="eastAsia" w:ascii="宋体" w:hAnsi="宋体" w:eastAsia="宋体" w:cs="宋体"/>
          <w:b/>
          <w:bCs w:val="0"/>
          <w:sz w:val="28"/>
          <w:szCs w:val="28"/>
        </w:rPr>
      </w:pPr>
      <w:r>
        <w:rPr>
          <w:rFonts w:hint="eastAsia" w:ascii="宋体" w:hAnsi="宋体" w:eastAsia="宋体" w:cs="宋体"/>
          <w:b/>
          <w:bCs w:val="0"/>
          <w:sz w:val="28"/>
          <w:szCs w:val="28"/>
        </w:rPr>
        <w:t>委托人的义务</w:t>
      </w:r>
    </w:p>
    <w:p w14:paraId="7C225C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第七条  委托人应负责与本建设工程造价咨询业务有关的第三方的协调，为咨询人工作提供外部条件。</w:t>
      </w:r>
    </w:p>
    <w:p w14:paraId="356E0B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第八条  委托人应当在约定的时间内，免费向咨询人提供与本项目咨询业务有关的资料。</w:t>
      </w:r>
    </w:p>
    <w:p w14:paraId="25DF90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第九条  委托人应当在约定的时间内就咨询人书面提交并要求做出答复的事宜做出书面答复，咨询人要求第三方提供有关资料时，委托人应负责转达及资料转达。</w:t>
      </w:r>
    </w:p>
    <w:p w14:paraId="15A23B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第十条  委托人应当授权胜任本咨询业务的代表，负责与咨询人联系。</w:t>
      </w:r>
    </w:p>
    <w:p w14:paraId="7B3902CC">
      <w:pPr>
        <w:jc w:val="center"/>
        <w:rPr>
          <w:rFonts w:hint="eastAsia" w:ascii="宋体" w:hAnsi="宋体" w:eastAsia="宋体" w:cs="宋体"/>
          <w:b/>
          <w:bCs w:val="0"/>
          <w:sz w:val="28"/>
          <w:szCs w:val="28"/>
        </w:rPr>
      </w:pPr>
      <w:r>
        <w:rPr>
          <w:rFonts w:hint="eastAsia" w:ascii="宋体" w:hAnsi="宋体" w:eastAsia="宋体" w:cs="宋体"/>
          <w:b/>
          <w:bCs w:val="0"/>
          <w:sz w:val="28"/>
          <w:szCs w:val="28"/>
        </w:rPr>
        <w:t>咨询人的权利</w:t>
      </w:r>
    </w:p>
    <w:p w14:paraId="61BE0F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第十一条  委托人在委托的建设工程造价咨询业务范围内，授予造价咨询人以下权利：</w:t>
      </w:r>
    </w:p>
    <w:p w14:paraId="4F31B4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1、咨询人在咨询过程中，如委托人提供的资料不明确时可向委托人提出书面报告。</w:t>
      </w:r>
    </w:p>
    <w:p w14:paraId="171B17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2、咨询人在咨询过程中，有权对第三人提出与本咨询业务有关的问题进行核对或查问。</w:t>
      </w:r>
    </w:p>
    <w:p w14:paraId="688A5E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3、咨询人在咨询过程中，有到工程现场勘察的权利。</w:t>
      </w:r>
    </w:p>
    <w:p w14:paraId="4C3DD696">
      <w:pPr>
        <w:jc w:val="center"/>
        <w:rPr>
          <w:rFonts w:hint="eastAsia" w:ascii="宋体" w:hAnsi="宋体" w:eastAsia="宋体" w:cs="宋体"/>
          <w:b/>
          <w:bCs w:val="0"/>
          <w:sz w:val="28"/>
          <w:szCs w:val="28"/>
        </w:rPr>
      </w:pPr>
      <w:r>
        <w:rPr>
          <w:rFonts w:hint="eastAsia" w:ascii="宋体" w:hAnsi="宋体" w:eastAsia="宋体" w:cs="宋体"/>
          <w:b/>
          <w:bCs w:val="0"/>
          <w:sz w:val="28"/>
          <w:szCs w:val="28"/>
        </w:rPr>
        <w:t>委托人的权利</w:t>
      </w:r>
    </w:p>
    <w:p w14:paraId="7AE6DF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第十二条 委托人有下列权利：</w:t>
      </w:r>
    </w:p>
    <w:p w14:paraId="75EEC1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1、委托人有权向咨询人询问工程进展情况及相关的内容。</w:t>
      </w:r>
    </w:p>
    <w:p w14:paraId="60C63D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2、委托人有权阐述对具体问题的意见和建议。</w:t>
      </w:r>
    </w:p>
    <w:p w14:paraId="731EAF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3、当委托人认定咨询专业人员不按咨询合同履行其职责，或与第三人串通给委托人造成经济损失的，委托人有权要求更换咨询专业人员，直至终止合同并要求咨询人承担相应的赔偿责任。</w:t>
      </w:r>
    </w:p>
    <w:p w14:paraId="0351237A">
      <w:pPr>
        <w:jc w:val="center"/>
        <w:rPr>
          <w:rFonts w:hint="eastAsia" w:ascii="宋体" w:hAnsi="宋体" w:eastAsia="宋体" w:cs="宋体"/>
          <w:b/>
          <w:bCs w:val="0"/>
          <w:sz w:val="28"/>
          <w:szCs w:val="28"/>
        </w:rPr>
      </w:pPr>
      <w:r>
        <w:rPr>
          <w:rFonts w:hint="eastAsia" w:ascii="宋体" w:hAnsi="宋体" w:eastAsia="宋体" w:cs="宋体"/>
          <w:b/>
          <w:bCs w:val="0"/>
          <w:sz w:val="28"/>
          <w:szCs w:val="28"/>
        </w:rPr>
        <w:t>咨询人的责任</w:t>
      </w:r>
    </w:p>
    <w:p w14:paraId="304CBD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第十三条  咨询人的责任期即建设工程造价咨询合同有效期。如因非咨询人的责任造成进度的推迟或延误，而超过约定的日期，双方应进一步约定相应延长合同有效期。</w:t>
      </w:r>
    </w:p>
    <w:p w14:paraId="10134A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第十四条  咨询人责任期内，应当履行建设工程造价合同中约定的义务，因咨询人的单方过失造成的经济损失，应当向委托人进行赔偿。累计赔偿总额不应超过建设工程造价咨询酬金总额（除去税金）。</w:t>
      </w:r>
    </w:p>
    <w:p w14:paraId="63F3E4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第十五条  咨询人对委托人或第三人所提出的问题不能及时核对或答复，导致合同不能全部或部分履行，由咨询人应承担责任。</w:t>
      </w:r>
    </w:p>
    <w:p w14:paraId="240AF9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第十六条  咨询人向委托人提出赔偿或其他要求不能成立时，则应补偿由于该赔偿或其他要求所导致委托人的各种费用支出</w:t>
      </w:r>
    </w:p>
    <w:p w14:paraId="226A86E5">
      <w:pPr>
        <w:jc w:val="center"/>
        <w:rPr>
          <w:rFonts w:hint="eastAsia" w:ascii="宋体" w:hAnsi="宋体" w:eastAsia="宋体" w:cs="宋体"/>
          <w:b/>
          <w:bCs w:val="0"/>
          <w:sz w:val="28"/>
          <w:szCs w:val="28"/>
        </w:rPr>
      </w:pPr>
      <w:r>
        <w:rPr>
          <w:rFonts w:hint="eastAsia" w:ascii="宋体" w:hAnsi="宋体" w:eastAsia="宋体" w:cs="宋体"/>
          <w:b/>
          <w:bCs w:val="0"/>
          <w:sz w:val="28"/>
          <w:szCs w:val="28"/>
        </w:rPr>
        <w:t>委托人的责任</w:t>
      </w:r>
    </w:p>
    <w:p w14:paraId="0A3462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  委托人应当履行建设工程造价咨询合同约定的义务，如有违反则应当承担违约责任，赔偿给咨询人造成的损失。</w:t>
      </w:r>
    </w:p>
    <w:p w14:paraId="702A28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第十八条  委托人如果向咨询人提出赔偿或其他要求不能成立时，则应补偿由于该赔偿或其他要求所导致咨询人的各种费用支出。</w:t>
      </w:r>
    </w:p>
    <w:p w14:paraId="5C81EAAA">
      <w:pPr>
        <w:jc w:val="center"/>
        <w:rPr>
          <w:rFonts w:hint="eastAsia" w:ascii="宋体" w:hAnsi="宋体" w:eastAsia="宋体" w:cs="宋体"/>
          <w:b/>
          <w:sz w:val="28"/>
          <w:szCs w:val="28"/>
        </w:rPr>
      </w:pPr>
      <w:r>
        <w:rPr>
          <w:rFonts w:hint="eastAsia" w:ascii="宋体" w:hAnsi="宋体" w:eastAsia="宋体" w:cs="宋体"/>
          <w:b/>
          <w:bCs w:val="0"/>
          <w:sz w:val="28"/>
          <w:szCs w:val="28"/>
        </w:rPr>
        <w:t>合同生效，变更与终止</w:t>
      </w:r>
    </w:p>
    <w:p w14:paraId="4B325D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第十九条  本合同自双方签字盖章之日起生效。</w:t>
      </w:r>
    </w:p>
    <w:p w14:paraId="044B2D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第二十条  由于委托方或第三方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4311D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第二十一条  当事人一方要求变更或解除合同时，则应当在14日前通知对方；因变更或解除合同使一方遭受损失的，应当由责任方负责赔偿。</w:t>
      </w:r>
    </w:p>
    <w:p w14:paraId="0BCDC4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第二十二条  咨询人由于非自身原因暂停或终止执行建设工程造价咨询业务，由此增加的恢复执行建设工程造价咨询业务的工作，应视为额外服务，有权得到额外的时间和酬金。</w:t>
      </w:r>
    </w:p>
    <w:p w14:paraId="27384B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第二十三条  变更或解除合同的通知或协议应当采取书面形式，新的协议未达成之前，原合同仍然有效。</w:t>
      </w:r>
    </w:p>
    <w:p w14:paraId="47B6F917">
      <w:pPr>
        <w:jc w:val="center"/>
        <w:rPr>
          <w:rFonts w:hint="eastAsia" w:ascii="宋体" w:hAnsi="宋体" w:eastAsia="宋体" w:cs="宋体"/>
          <w:b/>
          <w:bCs w:val="0"/>
          <w:sz w:val="28"/>
          <w:szCs w:val="28"/>
        </w:rPr>
      </w:pPr>
      <w:r>
        <w:rPr>
          <w:rFonts w:hint="eastAsia" w:ascii="宋体" w:hAnsi="宋体" w:eastAsia="宋体" w:cs="宋体"/>
          <w:b/>
          <w:bCs w:val="0"/>
          <w:sz w:val="28"/>
          <w:szCs w:val="28"/>
        </w:rPr>
        <w:t>咨询业务的酬金</w:t>
      </w:r>
    </w:p>
    <w:p w14:paraId="5D5718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第二十四条  正常的建设工程造价咨询业务，附加工作和额外工作的酬金，按建设工程造价咨询合同专用条件约定方法计取，并按约定的时间和数额支付。</w:t>
      </w:r>
    </w:p>
    <w:p w14:paraId="45105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第二十五条  如果委托人无正当理由在规定的支付期限内未支付建设工程造价咨询酬金，自规定支付之日起，应当向咨询人补偿应支付的酬金利息。利息额按规定支付期限最后一日银行活期贷款乘以拖欠酬金时间计算。</w:t>
      </w:r>
    </w:p>
    <w:p w14:paraId="7D97E8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第二十六条  如果委托人对咨询人提交的支付通知书中酬金或部分酬金项目提出异议，应当在收到支付通知书两个工作日内向咨询人发出异议的通知，但委托人不得拖延其无异议酬金项目的支付。</w:t>
      </w:r>
    </w:p>
    <w:p w14:paraId="60392D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第二十七条  支付建设工程造价咨询酬金所采用的货币币种、汇率由合同专用条件约定。</w:t>
      </w:r>
    </w:p>
    <w:p w14:paraId="46783704">
      <w:pPr>
        <w:jc w:val="center"/>
        <w:rPr>
          <w:rFonts w:hint="eastAsia" w:ascii="宋体" w:hAnsi="宋体" w:eastAsia="宋体" w:cs="宋体"/>
          <w:b/>
          <w:bCs w:val="0"/>
          <w:sz w:val="28"/>
          <w:szCs w:val="28"/>
        </w:rPr>
      </w:pPr>
      <w:r>
        <w:rPr>
          <w:rFonts w:hint="eastAsia" w:ascii="宋体" w:hAnsi="宋体" w:eastAsia="宋体" w:cs="宋体"/>
          <w:b/>
          <w:bCs w:val="0"/>
          <w:sz w:val="28"/>
          <w:szCs w:val="28"/>
        </w:rPr>
        <w:t>其   他</w:t>
      </w:r>
    </w:p>
    <w:p w14:paraId="136808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第二十八条  因建设工程造价咨询业务的需要，咨询人在合同约定外的外出考察时，经委托人同意，其所需费用由委托人负责。</w:t>
      </w:r>
    </w:p>
    <w:p w14:paraId="4068DC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第二十九条  咨询人如须另聘专家协助，在委托的建设工程造价咨询业务范围内其费用由咨询人承担，在委托的建设工程造价咨询业务范围以外费用，经委托人认可其费用由委托人承担。</w:t>
      </w:r>
    </w:p>
    <w:p w14:paraId="36F41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第三十条  未经对方的书面同意，各方均不得转让合同约定的权利和义务。</w:t>
      </w:r>
    </w:p>
    <w:p w14:paraId="48C95D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第三十一条  除委托人书面同意外，咨询人及咨询专业人员不应接受建设工程造价咨询合同约定以外的与工程造价咨询项目有关的任何报酬。</w:t>
      </w:r>
    </w:p>
    <w:p w14:paraId="0297B7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咨询单位不得参与可能与合同规定的与委托人利益相冲突的任何活动。</w:t>
      </w:r>
    </w:p>
    <w:p w14:paraId="26C1D139">
      <w:pPr>
        <w:jc w:val="center"/>
        <w:rPr>
          <w:rFonts w:hint="eastAsia" w:ascii="宋体" w:hAnsi="宋体" w:eastAsia="宋体" w:cs="宋体"/>
          <w:b/>
          <w:bCs w:val="0"/>
          <w:sz w:val="28"/>
          <w:szCs w:val="28"/>
        </w:rPr>
      </w:pPr>
      <w:r>
        <w:rPr>
          <w:rFonts w:hint="eastAsia" w:ascii="宋体" w:hAnsi="宋体" w:eastAsia="宋体" w:cs="宋体"/>
          <w:b/>
          <w:bCs w:val="0"/>
          <w:sz w:val="28"/>
          <w:szCs w:val="28"/>
        </w:rPr>
        <w:t>合同争议的解决</w:t>
      </w:r>
    </w:p>
    <w:p w14:paraId="042790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第三十二条  因违约或终止合同而引起的对损失和损害的赔偿，委托人与咨询人之间应当协商解决，如未能达成一致，可提交有关主管部门调解；协商或调解不成时，根据双方约定提交仲裁机关仲裁，或向人民法院提请诉讼。</w:t>
      </w:r>
    </w:p>
    <w:p w14:paraId="0BE11A87">
      <w:pPr>
        <w:rPr>
          <w:rFonts w:hint="eastAsia" w:ascii="黑体" w:hAnsi="宋体" w:eastAsia="黑体"/>
          <w:sz w:val="28"/>
          <w:szCs w:val="28"/>
        </w:rPr>
      </w:pPr>
      <w:r>
        <w:rPr>
          <w:rFonts w:hint="eastAsia" w:ascii="黑体" w:hAnsi="宋体" w:eastAsia="黑体"/>
          <w:sz w:val="28"/>
          <w:szCs w:val="28"/>
        </w:rPr>
        <w:br w:type="page"/>
      </w:r>
    </w:p>
    <w:p w14:paraId="129A0949">
      <w:pPr>
        <w:tabs>
          <w:tab w:val="left" w:pos="1890"/>
        </w:tabs>
        <w:jc w:val="center"/>
        <w:rPr>
          <w:rFonts w:ascii="黑体" w:hAnsi="宋体" w:eastAsia="黑体"/>
          <w:bCs/>
          <w:sz w:val="32"/>
          <w:szCs w:val="32"/>
        </w:rPr>
      </w:pPr>
      <w:r>
        <w:rPr>
          <w:rFonts w:hint="eastAsia" w:ascii="黑体" w:hAnsi="宋体" w:eastAsia="黑体"/>
          <w:bCs/>
          <w:sz w:val="32"/>
          <w:szCs w:val="32"/>
        </w:rPr>
        <w:t>第三部分  建设工程造价咨询合同专用条件</w:t>
      </w:r>
    </w:p>
    <w:p w14:paraId="1AD59D3C">
      <w:pPr>
        <w:jc w:val="center"/>
        <w:rPr>
          <w:rFonts w:ascii="宋体" w:hAnsi="宋体"/>
          <w:sz w:val="28"/>
          <w:szCs w:val="28"/>
        </w:rPr>
      </w:pPr>
    </w:p>
    <w:p w14:paraId="1D844C4F">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第一条  本合同适用现行的法律、法规及工程造价计价办法和规定。</w:t>
      </w:r>
    </w:p>
    <w:p w14:paraId="12CC2040">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第二条  建设工程造价咨询业务范围：</w:t>
      </w:r>
    </w:p>
    <w:p w14:paraId="56CA930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“建设工程造价咨询业务”是指以下服务类别的咨询业务：</w:t>
      </w:r>
      <w:r>
        <w:rPr>
          <w:rFonts w:hint="eastAsia" w:ascii="宋体" w:hAnsi="宋体" w:eastAsia="宋体" w:cs="宋体"/>
          <w:sz w:val="24"/>
          <w:szCs w:val="24"/>
          <w:u w:val="single"/>
        </w:rPr>
        <w:t xml:space="preserve">  B类   </w:t>
      </w:r>
    </w:p>
    <w:p w14:paraId="66ECE312">
      <w:pPr>
        <w:tabs>
          <w:tab w:val="left" w:pos="577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（A类）建设项目可行性研究投资估算的编制、审核及项目经济评价；</w:t>
      </w:r>
    </w:p>
    <w:p w14:paraId="0BC2C5A9">
      <w:pPr>
        <w:tabs>
          <w:tab w:val="left" w:pos="577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（B类）建设工程概算、预算、结算、竣工结（决）算的编制、审核；</w:t>
      </w:r>
    </w:p>
    <w:p w14:paraId="55DB13B8">
      <w:pPr>
        <w:tabs>
          <w:tab w:val="left" w:pos="577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（C类）建设工程招标标底、工程量清单的编制；</w:t>
      </w:r>
    </w:p>
    <w:p w14:paraId="1E2B873A">
      <w:pPr>
        <w:tabs>
          <w:tab w:val="left" w:pos="577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（D类）工程洽商、变更及合同争议的鉴定与索赔；</w:t>
      </w:r>
    </w:p>
    <w:p w14:paraId="1F3F215C">
      <w:pPr>
        <w:tabs>
          <w:tab w:val="left" w:pos="577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（E类）编制工程造价计价依据及工程造价进行监控和提供有关工程造价信息资料等。</w:t>
      </w:r>
    </w:p>
    <w:p w14:paraId="090F141A">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rPr>
        <w:t>条  委托人应对上述提供的建设工程造价咨询材料：</w:t>
      </w:r>
    </w:p>
    <w:p w14:paraId="2BF184DC">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0" w:firstLineChars="200"/>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 xml:space="preserve">  招标资料、工程洽商变更、项目说明、竣工验收单、施工图纸及竣工图等；提供咨询材料的时间：施工单位提交以上资料同时提交给咨询人。</w:t>
      </w:r>
    </w:p>
    <w:p w14:paraId="29A18E72">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第四条  委托人应在</w:t>
      </w:r>
      <w:r>
        <w:rPr>
          <w:rFonts w:hint="eastAsia" w:ascii="宋体" w:hAnsi="宋体" w:eastAsia="宋体" w:cs="宋体"/>
          <w:b/>
          <w:bCs w:val="0"/>
          <w:sz w:val="24"/>
          <w:szCs w:val="24"/>
          <w:u w:val="single"/>
        </w:rPr>
        <w:t xml:space="preserve">  7 </w:t>
      </w:r>
      <w:r>
        <w:rPr>
          <w:rFonts w:hint="eastAsia" w:ascii="宋体" w:hAnsi="宋体" w:eastAsia="宋体" w:cs="宋体"/>
          <w:b/>
          <w:bCs w:val="0"/>
          <w:sz w:val="24"/>
          <w:szCs w:val="24"/>
        </w:rPr>
        <w:t>日内对咨询人书面提交并要求做出答复的事宜做出书面答复。</w:t>
      </w:r>
    </w:p>
    <w:p w14:paraId="5EB64B96">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第五条  咨询人在其责任期内如果失职，同意以下办法承担因单方责任而造成的经济损失。</w:t>
      </w:r>
    </w:p>
    <w:p w14:paraId="070F7AB0">
      <w:pPr>
        <w:adjustRightInd w:val="0"/>
        <w:snapToGrid w:val="0"/>
        <w:spacing w:line="360" w:lineRule="auto"/>
        <w:ind w:firstLine="480" w:firstLineChars="200"/>
        <w:rPr>
          <w:rFonts w:hint="eastAsia" w:ascii="宋体" w:hAnsi="宋体" w:eastAsia="宋体" w:cs="宋体"/>
          <w:color w:val="C00000"/>
          <w:sz w:val="24"/>
          <w:szCs w:val="24"/>
        </w:rPr>
      </w:pPr>
      <w:r>
        <w:rPr>
          <w:rFonts w:hint="eastAsia" w:ascii="宋体" w:hAnsi="宋体" w:eastAsia="宋体" w:cs="宋体"/>
          <w:sz w:val="24"/>
          <w:szCs w:val="24"/>
        </w:rPr>
        <w:t>1、未按约定时间交付工程咨询成果文件的，每逾期一日，向委托人支付咨询费用总价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%的违约金；</w:t>
      </w:r>
    </w:p>
    <w:p w14:paraId="67F5269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2、未按约定标准提供咨询成果文件，应支付合同价款</w:t>
      </w:r>
      <w:r>
        <w:rPr>
          <w:rFonts w:hint="eastAsia" w:ascii="宋体" w:hAnsi="宋体" w:eastAsia="宋体" w:cs="宋体"/>
          <w:sz w:val="24"/>
          <w:szCs w:val="24"/>
          <w:u w:val="single"/>
        </w:rPr>
        <w:t>　/　</w:t>
      </w:r>
      <w:r>
        <w:rPr>
          <w:rFonts w:hint="eastAsia" w:ascii="宋体" w:hAnsi="宋体" w:eastAsia="宋体" w:cs="宋体"/>
          <w:sz w:val="24"/>
          <w:szCs w:val="24"/>
        </w:rPr>
        <w:t xml:space="preserve"> %的违约金，并赔偿由此给委托人造成的损失。</w:t>
      </w:r>
    </w:p>
    <w:p w14:paraId="68BC2E9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3、咨询人咨询服务有瑕疵，委托人要求限期整改，咨询人逾期未整改并给委托人造成损失的, 咨询人应给予赔偿。</w:t>
      </w:r>
    </w:p>
    <w:p w14:paraId="7F951722">
      <w:pPr>
        <w:keepNext w:val="0"/>
        <w:keepLines w:val="0"/>
        <w:pageBreakBefore w:val="0"/>
        <w:widowControl w:val="0"/>
        <w:tabs>
          <w:tab w:val="left" w:pos="1890"/>
        </w:tabs>
        <w:kinsoku/>
        <w:wordWrap/>
        <w:overflowPunct/>
        <w:topLinePunct w:val="0"/>
        <w:autoSpaceDE/>
        <w:autoSpaceDN/>
        <w:bidi w:val="0"/>
        <w:adjustRightInd/>
        <w:snapToGrid/>
        <w:spacing w:line="401" w:lineRule="auto"/>
        <w:ind w:left="0" w:leftChars="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第六条  委托人应当履行建设工程造价咨询合同约定的义务，如有违反则应当承担违约责任，同意按以下办法赔偿给咨询人造成的损失。</w:t>
      </w:r>
    </w:p>
    <w:p w14:paraId="4EB937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1、未按合同约定接收工程咨询成果文件的，每逾期一日，向乙方支付咨询费用总价</w:t>
      </w:r>
      <w:r>
        <w:rPr>
          <w:rFonts w:hint="eastAsia" w:ascii="宋体" w:hAnsi="宋体" w:eastAsia="宋体" w:cs="宋体"/>
          <w:sz w:val="24"/>
          <w:szCs w:val="24"/>
          <w:u w:val="single"/>
        </w:rPr>
        <w:t xml:space="preserve"> / </w:t>
      </w:r>
      <w:r>
        <w:rPr>
          <w:rFonts w:hint="eastAsia" w:ascii="宋体" w:hAnsi="宋体" w:eastAsia="宋体" w:cs="宋体"/>
          <w:sz w:val="24"/>
          <w:szCs w:val="24"/>
        </w:rPr>
        <w:t>%的违约金。</w:t>
      </w:r>
    </w:p>
    <w:p w14:paraId="60E8B8A2">
      <w:pPr>
        <w:adjustRightInd w:val="0"/>
        <w:snapToGrid w:val="0"/>
        <w:spacing w:line="360" w:lineRule="auto"/>
        <w:ind w:firstLine="600" w:firstLineChars="250"/>
        <w:jc w:val="left"/>
        <w:rPr>
          <w:rFonts w:hint="eastAsia" w:ascii="宋体" w:hAnsi="宋体" w:eastAsia="宋体" w:cs="宋体"/>
          <w:sz w:val="24"/>
          <w:szCs w:val="24"/>
        </w:rPr>
      </w:pPr>
      <w:bookmarkStart w:id="723" w:name="_Toc107806581"/>
      <w:r>
        <w:rPr>
          <w:rFonts w:hint="eastAsia" w:ascii="宋体" w:hAnsi="宋体" w:eastAsia="宋体" w:cs="宋体"/>
          <w:sz w:val="24"/>
          <w:szCs w:val="24"/>
        </w:rPr>
        <w:t>2、未按合同约定支付价款的，每逾期一日，向乙方支付迟延部分咨询费用总价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％的违约金。</w:t>
      </w:r>
      <w:bookmarkEnd w:id="723"/>
    </w:p>
    <w:p w14:paraId="34E3EC0C">
      <w:pPr>
        <w:keepNext w:val="0"/>
        <w:keepLines w:val="0"/>
        <w:pageBreakBefore w:val="0"/>
        <w:widowControl w:val="0"/>
        <w:tabs>
          <w:tab w:val="left" w:pos="5775"/>
        </w:tabs>
        <w:kinsoku/>
        <w:wordWrap/>
        <w:overflowPunct/>
        <w:topLinePunct w:val="0"/>
        <w:autoSpaceDE/>
        <w:autoSpaceDN/>
        <w:bidi w:val="0"/>
        <w:adjustRightInd/>
        <w:snapToGrid/>
        <w:spacing w:line="401" w:lineRule="auto"/>
        <w:ind w:firstLine="562" w:firstLineChars="200"/>
        <w:textAlignment w:val="auto"/>
        <w:rPr>
          <w:rFonts w:ascii="宋体" w:hAnsi="宋体"/>
          <w:sz w:val="24"/>
          <w:szCs w:val="24"/>
        </w:rPr>
      </w:pPr>
      <w:r>
        <w:rPr>
          <w:rFonts w:hint="eastAsia" w:ascii="宋体" w:hAnsi="宋体" w:eastAsia="宋体" w:cs="宋体"/>
          <w:b/>
          <w:bCs/>
          <w:sz w:val="28"/>
          <w:szCs w:val="28"/>
        </w:rPr>
        <w:t>第七条  委托人同意按以下的计算方法、支付时间与金额，支付咨询人的正常服务酬金</w:t>
      </w:r>
      <w:r>
        <w:rPr>
          <w:rFonts w:hint="eastAsia" w:ascii="宋体" w:hAnsi="宋体" w:eastAsia="宋体" w:cs="宋体"/>
          <w:sz w:val="28"/>
          <w:szCs w:val="28"/>
        </w:rPr>
        <w:t>：</w:t>
      </w:r>
      <w:r>
        <w:rPr>
          <w:rFonts w:hint="eastAsia" w:ascii="宋体" w:hAnsi="宋体"/>
          <w:sz w:val="28"/>
          <w:szCs w:val="28"/>
          <w:u w:val="single"/>
        </w:rPr>
        <w:t xml:space="preserve">      </w:t>
      </w:r>
      <w:r>
        <w:rPr>
          <w:rFonts w:hint="eastAsia" w:ascii="黑体" w:hAnsi="宋体" w:eastAsia="黑体"/>
          <w:sz w:val="28"/>
          <w:szCs w:val="28"/>
          <w:u w:val="single"/>
        </w:rPr>
        <w:t xml:space="preserve">  </w:t>
      </w:r>
      <w:r>
        <w:rPr>
          <w:rFonts w:hint="eastAsia" w:ascii="宋体" w:hAnsi="宋体"/>
          <w:sz w:val="28"/>
          <w:szCs w:val="28"/>
        </w:rPr>
        <w:t>。</w:t>
      </w:r>
      <w:r>
        <w:rPr>
          <w:rFonts w:ascii="宋体" w:hAnsi="宋体"/>
          <w:sz w:val="24"/>
          <w:szCs w:val="24"/>
        </w:rPr>
        <w:t>待</w:t>
      </w:r>
      <w:r>
        <w:rPr>
          <w:rFonts w:hint="eastAsia" w:ascii="宋体" w:hAnsi="宋体"/>
          <w:sz w:val="24"/>
          <w:szCs w:val="24"/>
        </w:rPr>
        <w:t>提供全部结算、决算报告提交后</w:t>
      </w:r>
      <w:r>
        <w:rPr>
          <w:rFonts w:ascii="宋体" w:hAnsi="宋体"/>
          <w:sz w:val="24"/>
          <w:szCs w:val="24"/>
        </w:rPr>
        <w:t>一次付清。</w:t>
      </w:r>
      <w:r>
        <w:rPr>
          <w:rFonts w:hint="eastAsia" w:ascii="宋体" w:hAnsi="宋体"/>
          <w:sz w:val="24"/>
          <w:szCs w:val="24"/>
        </w:rPr>
        <w:t xml:space="preserve"> </w:t>
      </w:r>
    </w:p>
    <w:p w14:paraId="1932F2FF">
      <w:pPr>
        <w:keepNext w:val="0"/>
        <w:keepLines w:val="0"/>
        <w:pageBreakBefore w:val="0"/>
        <w:widowControl w:val="0"/>
        <w:tabs>
          <w:tab w:val="left" w:pos="5775"/>
        </w:tabs>
        <w:kinsoku/>
        <w:wordWrap/>
        <w:overflowPunct/>
        <w:topLinePunct w:val="0"/>
        <w:autoSpaceDE/>
        <w:autoSpaceDN/>
        <w:bidi w:val="0"/>
        <w:adjustRightInd/>
        <w:snapToGrid/>
        <w:spacing w:line="401"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第八条  双方同意用</w:t>
      </w:r>
      <w:r>
        <w:rPr>
          <w:rFonts w:hint="eastAsia" w:ascii="宋体" w:hAnsi="宋体" w:eastAsia="宋体" w:cs="宋体"/>
          <w:b/>
          <w:bCs/>
          <w:sz w:val="28"/>
          <w:szCs w:val="28"/>
          <w:u w:val="single"/>
        </w:rPr>
        <w:t xml:space="preserve">  人民币  </w:t>
      </w:r>
      <w:r>
        <w:rPr>
          <w:rFonts w:hint="eastAsia" w:ascii="宋体" w:hAnsi="宋体" w:eastAsia="宋体" w:cs="宋体"/>
          <w:b/>
          <w:bCs/>
          <w:sz w:val="28"/>
          <w:szCs w:val="28"/>
        </w:rPr>
        <w:t>支付酬金，按</w:t>
      </w:r>
      <w:r>
        <w:rPr>
          <w:rFonts w:hint="eastAsia" w:ascii="宋体" w:hAnsi="宋体" w:eastAsia="宋体" w:cs="宋体"/>
          <w:b/>
          <w:bCs/>
          <w:sz w:val="28"/>
          <w:szCs w:val="28"/>
          <w:u w:val="single"/>
        </w:rPr>
        <w:t xml:space="preserve">  中国人民银行相关</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rPr>
        <w:t>汇率计付。</w:t>
      </w:r>
    </w:p>
    <w:p w14:paraId="64D18395">
      <w:pPr>
        <w:keepNext w:val="0"/>
        <w:keepLines w:val="0"/>
        <w:pageBreakBefore w:val="0"/>
        <w:widowControl w:val="0"/>
        <w:tabs>
          <w:tab w:val="left" w:pos="5775"/>
        </w:tabs>
        <w:kinsoku/>
        <w:wordWrap/>
        <w:overflowPunct/>
        <w:topLinePunct w:val="0"/>
        <w:autoSpaceDE/>
        <w:autoSpaceDN/>
        <w:bidi w:val="0"/>
        <w:adjustRightInd/>
        <w:snapToGrid/>
        <w:spacing w:line="401"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第九条  建设工程造价咨询合同在履行过程中发生争议，委托人与咨询人应及时协商解决；如未能达成一致，可提交有关主管部门调解；协商可调解不成的，按下列第</w:t>
      </w:r>
      <w:r>
        <w:rPr>
          <w:rFonts w:hint="eastAsia" w:ascii="宋体" w:hAnsi="宋体" w:eastAsia="宋体" w:cs="宋体"/>
          <w:b/>
          <w:bCs/>
          <w:sz w:val="28"/>
          <w:szCs w:val="28"/>
          <w:u w:val="single"/>
        </w:rPr>
        <w:t xml:space="preserve">   二    </w:t>
      </w:r>
      <w:r>
        <w:rPr>
          <w:rFonts w:hint="eastAsia" w:ascii="宋体" w:hAnsi="宋体" w:eastAsia="宋体" w:cs="宋体"/>
          <w:b/>
          <w:bCs/>
          <w:sz w:val="28"/>
          <w:szCs w:val="28"/>
        </w:rPr>
        <w:t>种方式解决：</w:t>
      </w:r>
    </w:p>
    <w:p w14:paraId="0FA1B228">
      <w:pPr>
        <w:tabs>
          <w:tab w:val="left" w:pos="5775"/>
        </w:tabs>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（一）提交 </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仲裁委员会仲裁；</w:t>
      </w:r>
    </w:p>
    <w:p w14:paraId="344C7B2A">
      <w:pPr>
        <w:tabs>
          <w:tab w:val="left" w:pos="630"/>
          <w:tab w:val="left" w:pos="5775"/>
        </w:tabs>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 xml:space="preserve">（二）依法向 </w:t>
      </w:r>
      <w:r>
        <w:rPr>
          <w:rFonts w:hint="eastAsia" w:ascii="宋体" w:hAnsi="宋体" w:eastAsia="宋体" w:cs="宋体"/>
          <w:sz w:val="24"/>
          <w:szCs w:val="24"/>
          <w:u w:val="single"/>
        </w:rPr>
        <w:t xml:space="preserve">   北京市海淀区     </w:t>
      </w:r>
      <w:r>
        <w:rPr>
          <w:rFonts w:hint="eastAsia" w:ascii="宋体" w:hAnsi="宋体" w:eastAsia="宋体" w:cs="宋体"/>
          <w:sz w:val="24"/>
          <w:szCs w:val="24"/>
        </w:rPr>
        <w:t>人民法院起诉。</w:t>
      </w:r>
    </w:p>
    <w:p w14:paraId="75178076">
      <w:pPr>
        <w:tabs>
          <w:tab w:val="left" w:pos="630"/>
          <w:tab w:val="left" w:pos="5775"/>
        </w:tabs>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本合同未尽事宜，经双方协商一致可以签订补充协议，补充协议为本合同的组成部分，具有同等法律效力。</w:t>
      </w:r>
    </w:p>
    <w:p w14:paraId="1C93F03B">
      <w:pPr>
        <w:tabs>
          <w:tab w:val="left" w:pos="5775"/>
        </w:tabs>
        <w:spacing w:line="480" w:lineRule="auto"/>
        <w:ind w:firstLine="560" w:firstLineChars="200"/>
        <w:rPr>
          <w:rFonts w:ascii="宋体" w:hAnsi="宋体"/>
          <w:sz w:val="28"/>
          <w:szCs w:val="28"/>
        </w:rPr>
      </w:pPr>
    </w:p>
    <w:bookmarkEnd w:id="708"/>
    <w:bookmarkEnd w:id="709"/>
    <w:bookmarkEnd w:id="710"/>
    <w:bookmarkEnd w:id="711"/>
    <w:p w14:paraId="28CBE772">
      <w:pPr>
        <w:rPr>
          <w:b/>
          <w:sz w:val="36"/>
          <w:szCs w:val="36"/>
        </w:rPr>
      </w:pPr>
      <w:bookmarkStart w:id="724" w:name="_Toc2132"/>
      <w:r>
        <w:rPr>
          <w:b/>
          <w:sz w:val="36"/>
          <w:szCs w:val="36"/>
        </w:rPr>
        <w:br w:type="page"/>
      </w:r>
    </w:p>
    <w:p w14:paraId="0FBE2B6A">
      <w:pPr>
        <w:spacing w:line="360" w:lineRule="auto"/>
        <w:jc w:val="center"/>
        <w:outlineLvl w:val="0"/>
        <w:rPr>
          <w:b/>
          <w:spacing w:val="20"/>
          <w:sz w:val="24"/>
        </w:rPr>
      </w:pPr>
      <w:r>
        <w:rPr>
          <w:b/>
          <w:sz w:val="36"/>
          <w:szCs w:val="36"/>
        </w:rPr>
        <w:t xml:space="preserve">第七章   </w:t>
      </w:r>
      <w:r>
        <w:rPr>
          <w:rFonts w:hint="eastAsia"/>
          <w:b/>
          <w:sz w:val="36"/>
          <w:szCs w:val="36"/>
        </w:rPr>
        <w:t>响应文件</w:t>
      </w:r>
      <w:r>
        <w:rPr>
          <w:b/>
          <w:sz w:val="36"/>
          <w:szCs w:val="36"/>
        </w:rPr>
        <w:t>格式</w:t>
      </w:r>
      <w:bookmarkEnd w:id="724"/>
    </w:p>
    <w:p w14:paraId="086BC76E">
      <w:pPr>
        <w:jc w:val="center"/>
        <w:rPr>
          <w:szCs w:val="21"/>
        </w:rPr>
      </w:pPr>
    </w:p>
    <w:p w14:paraId="0365898A">
      <w:pPr>
        <w:jc w:val="center"/>
        <w:rPr>
          <w:szCs w:val="21"/>
        </w:rPr>
      </w:pPr>
    </w:p>
    <w:p w14:paraId="6DDB77FB">
      <w:pPr>
        <w:jc w:val="center"/>
        <w:rPr>
          <w:szCs w:val="21"/>
        </w:rPr>
      </w:pPr>
    </w:p>
    <w:p w14:paraId="2EA479F4">
      <w:pPr>
        <w:jc w:val="center"/>
        <w:rPr>
          <w:szCs w:val="21"/>
        </w:rPr>
      </w:pPr>
    </w:p>
    <w:p w14:paraId="05C83265">
      <w:pPr>
        <w:jc w:val="center"/>
        <w:rPr>
          <w:szCs w:val="21"/>
        </w:rPr>
      </w:pPr>
    </w:p>
    <w:p w14:paraId="045A0171">
      <w:pPr>
        <w:rPr>
          <w:szCs w:val="21"/>
        </w:rPr>
      </w:pPr>
    </w:p>
    <w:p w14:paraId="2C48663D">
      <w:pPr>
        <w:rPr>
          <w:szCs w:val="21"/>
        </w:rPr>
      </w:pPr>
    </w:p>
    <w:p w14:paraId="64C0A409">
      <w:pPr>
        <w:rPr>
          <w:szCs w:val="21"/>
        </w:rPr>
      </w:pPr>
    </w:p>
    <w:p w14:paraId="47312E29">
      <w:pPr>
        <w:rPr>
          <w:szCs w:val="21"/>
        </w:rPr>
      </w:pPr>
    </w:p>
    <w:p w14:paraId="36427964">
      <w:pPr>
        <w:rPr>
          <w:szCs w:val="21"/>
        </w:rPr>
      </w:pPr>
    </w:p>
    <w:p w14:paraId="13A67A3A">
      <w:pPr>
        <w:rPr>
          <w:szCs w:val="21"/>
        </w:rPr>
      </w:pPr>
    </w:p>
    <w:p w14:paraId="0D08881C">
      <w:pPr>
        <w:rPr>
          <w:szCs w:val="21"/>
        </w:rPr>
      </w:pPr>
    </w:p>
    <w:p w14:paraId="19049FC0">
      <w:pPr>
        <w:jc w:val="center"/>
        <w:rPr>
          <w:szCs w:val="21"/>
        </w:rPr>
      </w:pPr>
    </w:p>
    <w:p w14:paraId="1C1F40AF">
      <w:pPr>
        <w:jc w:val="center"/>
        <w:rPr>
          <w:szCs w:val="21"/>
        </w:rPr>
      </w:pPr>
    </w:p>
    <w:p w14:paraId="3171E9C1">
      <w:pPr>
        <w:jc w:val="center"/>
        <w:rPr>
          <w:b/>
          <w:spacing w:val="60"/>
          <w:sz w:val="84"/>
          <w:szCs w:val="84"/>
        </w:rPr>
      </w:pPr>
      <w:r>
        <w:rPr>
          <w:rFonts w:hint="eastAsia"/>
          <w:b/>
          <w:spacing w:val="60"/>
          <w:sz w:val="84"/>
          <w:szCs w:val="84"/>
        </w:rPr>
        <w:t>响 应</w:t>
      </w:r>
      <w:r>
        <w:rPr>
          <w:b/>
          <w:spacing w:val="60"/>
          <w:sz w:val="84"/>
          <w:szCs w:val="84"/>
        </w:rPr>
        <w:t xml:space="preserve"> 文 件</w:t>
      </w:r>
    </w:p>
    <w:p w14:paraId="6DC1B4FD">
      <w:pPr>
        <w:jc w:val="center"/>
        <w:rPr>
          <w:b/>
          <w:spacing w:val="60"/>
          <w:sz w:val="52"/>
          <w:szCs w:val="52"/>
        </w:rPr>
      </w:pPr>
    </w:p>
    <w:p w14:paraId="036BC800">
      <w:pPr>
        <w:jc w:val="center"/>
        <w:rPr>
          <w:b/>
          <w:spacing w:val="60"/>
          <w:sz w:val="52"/>
          <w:szCs w:val="52"/>
        </w:rPr>
      </w:pPr>
    </w:p>
    <w:p w14:paraId="51A106B9">
      <w:pPr>
        <w:ind w:firstLine="542" w:firstLineChars="150"/>
        <w:rPr>
          <w:b/>
          <w:spacing w:val="20"/>
          <w:sz w:val="32"/>
          <w:szCs w:val="32"/>
        </w:rPr>
      </w:pPr>
    </w:p>
    <w:p w14:paraId="3A03A3FC">
      <w:pPr>
        <w:ind w:firstLine="542" w:firstLineChars="150"/>
        <w:rPr>
          <w:b/>
          <w:spacing w:val="20"/>
          <w:sz w:val="32"/>
          <w:szCs w:val="32"/>
        </w:rPr>
      </w:pPr>
    </w:p>
    <w:p w14:paraId="442B1338">
      <w:pPr>
        <w:ind w:firstLine="542" w:firstLineChars="150"/>
        <w:rPr>
          <w:b/>
          <w:spacing w:val="20"/>
          <w:sz w:val="32"/>
          <w:szCs w:val="32"/>
        </w:rPr>
      </w:pPr>
    </w:p>
    <w:p w14:paraId="2B6CF28E">
      <w:pPr>
        <w:ind w:firstLine="542" w:firstLineChars="150"/>
        <w:rPr>
          <w:b/>
          <w:spacing w:val="20"/>
          <w:sz w:val="32"/>
          <w:szCs w:val="32"/>
        </w:rPr>
      </w:pPr>
    </w:p>
    <w:p w14:paraId="3FDCE07B">
      <w:pPr>
        <w:ind w:firstLine="542" w:firstLineChars="150"/>
        <w:rPr>
          <w:b/>
          <w:spacing w:val="20"/>
          <w:sz w:val="32"/>
          <w:szCs w:val="32"/>
        </w:rPr>
      </w:pPr>
    </w:p>
    <w:p w14:paraId="16A9A2CA">
      <w:pPr>
        <w:ind w:firstLine="542" w:firstLineChars="150"/>
        <w:rPr>
          <w:b/>
          <w:spacing w:val="20"/>
          <w:sz w:val="32"/>
          <w:szCs w:val="32"/>
        </w:rPr>
      </w:pPr>
    </w:p>
    <w:p w14:paraId="438CB5CD">
      <w:pPr>
        <w:ind w:firstLine="542" w:firstLineChars="150"/>
        <w:rPr>
          <w:b/>
          <w:spacing w:val="20"/>
          <w:sz w:val="32"/>
          <w:szCs w:val="32"/>
        </w:rPr>
      </w:pPr>
    </w:p>
    <w:p w14:paraId="49CD2AF6">
      <w:pPr>
        <w:ind w:firstLine="542" w:firstLineChars="150"/>
        <w:rPr>
          <w:b/>
          <w:spacing w:val="20"/>
          <w:sz w:val="32"/>
          <w:szCs w:val="32"/>
        </w:rPr>
      </w:pPr>
    </w:p>
    <w:p w14:paraId="00864C48">
      <w:pPr>
        <w:ind w:firstLine="542" w:firstLineChars="150"/>
        <w:rPr>
          <w:b/>
          <w:spacing w:val="20"/>
          <w:sz w:val="32"/>
          <w:szCs w:val="32"/>
        </w:rPr>
      </w:pPr>
    </w:p>
    <w:p w14:paraId="0217ED95">
      <w:pPr>
        <w:ind w:firstLine="542" w:firstLineChars="150"/>
        <w:rPr>
          <w:b/>
          <w:spacing w:val="20"/>
          <w:sz w:val="32"/>
          <w:szCs w:val="32"/>
        </w:rPr>
      </w:pPr>
    </w:p>
    <w:p w14:paraId="701B7959">
      <w:pPr>
        <w:ind w:firstLine="542" w:firstLineChars="150"/>
        <w:rPr>
          <w:b/>
          <w:spacing w:val="20"/>
          <w:sz w:val="32"/>
          <w:szCs w:val="32"/>
        </w:rPr>
      </w:pPr>
    </w:p>
    <w:p w14:paraId="2D3F4968">
      <w:pPr>
        <w:ind w:firstLine="542" w:firstLineChars="150"/>
        <w:rPr>
          <w:b/>
          <w:spacing w:val="20"/>
          <w:sz w:val="32"/>
          <w:szCs w:val="32"/>
        </w:rPr>
      </w:pPr>
    </w:p>
    <w:p w14:paraId="7D6992BD">
      <w:pPr>
        <w:spacing w:line="360" w:lineRule="auto"/>
        <w:ind w:firstLine="542" w:firstLineChars="150"/>
        <w:rPr>
          <w:b/>
          <w:spacing w:val="20"/>
          <w:sz w:val="32"/>
          <w:szCs w:val="32"/>
          <w:u w:val="single"/>
        </w:rPr>
      </w:pPr>
      <w:r>
        <w:rPr>
          <w:b/>
          <w:spacing w:val="20"/>
          <w:sz w:val="32"/>
          <w:szCs w:val="32"/>
        </w:rPr>
        <w:t>项目名称:</w:t>
      </w:r>
      <w:r>
        <w:rPr>
          <w:rFonts w:hint="eastAsia"/>
          <w:b/>
          <w:spacing w:val="20"/>
          <w:sz w:val="32"/>
          <w:szCs w:val="32"/>
          <w:u w:val="single"/>
        </w:rPr>
        <w:t xml:space="preserve">                   </w:t>
      </w:r>
    </w:p>
    <w:p w14:paraId="7B3407DC">
      <w:pPr>
        <w:spacing w:line="360" w:lineRule="auto"/>
        <w:ind w:firstLine="542" w:firstLineChars="150"/>
        <w:rPr>
          <w:b/>
          <w:spacing w:val="20"/>
          <w:sz w:val="32"/>
          <w:szCs w:val="32"/>
          <w:u w:val="single"/>
        </w:rPr>
      </w:pPr>
      <w:r>
        <w:rPr>
          <w:b/>
          <w:spacing w:val="20"/>
          <w:sz w:val="32"/>
          <w:szCs w:val="32"/>
        </w:rPr>
        <w:t>项目编号/包号：</w:t>
      </w:r>
      <w:r>
        <w:rPr>
          <w:rFonts w:hint="eastAsia"/>
          <w:b/>
          <w:spacing w:val="20"/>
          <w:sz w:val="32"/>
          <w:szCs w:val="32"/>
          <w:u w:val="single"/>
        </w:rPr>
        <w:t xml:space="preserve">             </w:t>
      </w:r>
    </w:p>
    <w:p w14:paraId="6B48E0BF">
      <w:pPr>
        <w:spacing w:line="360" w:lineRule="auto"/>
        <w:ind w:firstLine="542" w:firstLineChars="150"/>
        <w:rPr>
          <w:b/>
          <w:sz w:val="32"/>
          <w:szCs w:val="32"/>
          <w:highlight w:val="none"/>
        </w:rPr>
      </w:pPr>
      <w:r>
        <w:rPr>
          <w:rFonts w:hint="eastAsia"/>
          <w:b/>
          <w:spacing w:val="20"/>
          <w:sz w:val="32"/>
          <w:szCs w:val="32"/>
          <w:highlight w:val="none"/>
        </w:rPr>
        <w:t>参选人名</w:t>
      </w:r>
      <w:r>
        <w:rPr>
          <w:b/>
          <w:spacing w:val="20"/>
          <w:sz w:val="32"/>
          <w:szCs w:val="32"/>
          <w:highlight w:val="none"/>
        </w:rPr>
        <w:t>称：</w:t>
      </w:r>
      <w:r>
        <w:rPr>
          <w:rFonts w:hint="eastAsia"/>
          <w:b/>
          <w:spacing w:val="20"/>
          <w:sz w:val="32"/>
          <w:szCs w:val="32"/>
          <w:highlight w:val="none"/>
          <w:u w:val="single"/>
        </w:rPr>
        <w:t xml:space="preserve">               </w:t>
      </w:r>
      <w:r>
        <w:rPr>
          <w:rFonts w:hint="eastAsia"/>
          <w:b/>
          <w:spacing w:val="20"/>
          <w:sz w:val="32"/>
          <w:szCs w:val="32"/>
          <w:highlight w:val="none"/>
        </w:rPr>
        <w:t>（全称加盖公章）</w:t>
      </w:r>
    </w:p>
    <w:p w14:paraId="5F208A56">
      <w:pPr>
        <w:rPr>
          <w:b/>
        </w:rPr>
      </w:pPr>
      <w:r>
        <w:rPr>
          <w:b/>
          <w:spacing w:val="20"/>
          <w:sz w:val="32"/>
          <w:szCs w:val="32"/>
        </w:rPr>
        <w:br w:type="page"/>
      </w:r>
    </w:p>
    <w:p w14:paraId="064E545A">
      <w:pPr>
        <w:spacing w:line="360" w:lineRule="auto"/>
        <w:outlineLvl w:val="2"/>
        <w:rPr>
          <w:color w:val="000000"/>
          <w:sz w:val="24"/>
          <w:szCs w:val="20"/>
        </w:rPr>
        <w:sectPr>
          <w:headerReference r:id="rId13" w:type="default"/>
          <w:footerReference r:id="rId14" w:type="default"/>
          <w:pgSz w:w="11907" w:h="16840"/>
          <w:pgMar w:top="1134" w:right="1418" w:bottom="1134" w:left="1418" w:header="510" w:footer="851" w:gutter="0"/>
          <w:cols w:space="720" w:num="1"/>
          <w:docGrid w:linePitch="462" w:charSpace="0"/>
        </w:sectPr>
      </w:pPr>
    </w:p>
    <w:p w14:paraId="132CAD60">
      <w:pPr>
        <w:spacing w:line="360" w:lineRule="auto"/>
        <w:ind w:firstLine="504"/>
        <w:rPr>
          <w:spacing w:val="6"/>
          <w:sz w:val="24"/>
        </w:rPr>
      </w:pPr>
    </w:p>
    <w:p w14:paraId="1B3923C4">
      <w:pPr>
        <w:spacing w:line="360" w:lineRule="auto"/>
        <w:ind w:firstLine="504"/>
        <w:rPr>
          <w:spacing w:val="6"/>
          <w:sz w:val="24"/>
        </w:rPr>
      </w:pPr>
    </w:p>
    <w:p w14:paraId="5D4CA147">
      <w:pPr>
        <w:spacing w:line="360" w:lineRule="auto"/>
        <w:ind w:firstLine="504"/>
        <w:rPr>
          <w:spacing w:val="6"/>
          <w:sz w:val="24"/>
        </w:rPr>
      </w:pPr>
    </w:p>
    <w:p w14:paraId="57089D87">
      <w:pPr>
        <w:spacing w:line="360" w:lineRule="auto"/>
        <w:ind w:firstLine="504"/>
        <w:rPr>
          <w:spacing w:val="6"/>
          <w:sz w:val="24"/>
        </w:rPr>
      </w:pPr>
    </w:p>
    <w:p w14:paraId="15FD4A98">
      <w:pPr>
        <w:spacing w:line="360" w:lineRule="auto"/>
        <w:ind w:firstLine="504"/>
        <w:rPr>
          <w:spacing w:val="6"/>
          <w:sz w:val="24"/>
        </w:rPr>
      </w:pPr>
    </w:p>
    <w:p w14:paraId="4DAF42B7">
      <w:pPr>
        <w:spacing w:line="360" w:lineRule="auto"/>
        <w:ind w:firstLine="504"/>
        <w:rPr>
          <w:spacing w:val="6"/>
          <w:sz w:val="24"/>
        </w:rPr>
      </w:pPr>
    </w:p>
    <w:p w14:paraId="24502C10">
      <w:pPr>
        <w:spacing w:line="360" w:lineRule="auto"/>
        <w:ind w:firstLine="504"/>
        <w:rPr>
          <w:spacing w:val="6"/>
          <w:sz w:val="24"/>
        </w:rPr>
      </w:pPr>
    </w:p>
    <w:p w14:paraId="66B4DEDC">
      <w:pPr>
        <w:spacing w:line="360" w:lineRule="auto"/>
        <w:ind w:firstLine="504"/>
        <w:rPr>
          <w:spacing w:val="6"/>
          <w:sz w:val="24"/>
        </w:rPr>
      </w:pPr>
    </w:p>
    <w:p w14:paraId="489BAA32">
      <w:pPr>
        <w:spacing w:line="360" w:lineRule="auto"/>
        <w:ind w:firstLine="504"/>
        <w:rPr>
          <w:spacing w:val="6"/>
          <w:sz w:val="24"/>
        </w:rPr>
      </w:pPr>
    </w:p>
    <w:p w14:paraId="7894BCE8">
      <w:pPr>
        <w:spacing w:line="360" w:lineRule="auto"/>
        <w:ind w:firstLine="504"/>
        <w:rPr>
          <w:spacing w:val="6"/>
          <w:sz w:val="24"/>
        </w:rPr>
      </w:pPr>
    </w:p>
    <w:p w14:paraId="69839F9C">
      <w:pPr>
        <w:spacing w:line="360" w:lineRule="auto"/>
        <w:ind w:firstLine="504"/>
        <w:rPr>
          <w:spacing w:val="6"/>
          <w:sz w:val="24"/>
        </w:rPr>
      </w:pPr>
    </w:p>
    <w:p w14:paraId="4488D3DB">
      <w:pPr>
        <w:spacing w:line="360" w:lineRule="auto"/>
        <w:jc w:val="center"/>
        <w:outlineLvl w:val="2"/>
        <w:rPr>
          <w:color w:val="000000"/>
          <w:sz w:val="48"/>
          <w:szCs w:val="36"/>
        </w:rPr>
        <w:sectPr>
          <w:pgSz w:w="11907" w:h="16840"/>
          <w:pgMar w:top="1134" w:right="1418" w:bottom="1134" w:left="1418" w:header="510" w:footer="851" w:gutter="0"/>
          <w:cols w:space="720" w:num="1"/>
          <w:docGrid w:linePitch="462" w:charSpace="0"/>
        </w:sectPr>
      </w:pPr>
      <w:r>
        <w:rPr>
          <w:rFonts w:hint="eastAsia"/>
          <w:color w:val="000000"/>
          <w:sz w:val="48"/>
          <w:szCs w:val="36"/>
        </w:rPr>
        <w:t>资格证明文件部分</w:t>
      </w:r>
    </w:p>
    <w:p w14:paraId="54E3D7F6">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4DA140C0">
      <w:pPr>
        <w:adjustRightInd w:val="0"/>
        <w:snapToGrid w:val="0"/>
        <w:spacing w:line="300" w:lineRule="auto"/>
        <w:ind w:left="511" w:leftChars="213"/>
        <w:outlineLvl w:val="3"/>
        <w:rPr>
          <w:rFonts w:ascii="宋体" w:hAnsi="宋体"/>
          <w:sz w:val="24"/>
          <w:szCs w:val="28"/>
        </w:rPr>
      </w:pPr>
      <w:r>
        <w:rPr>
          <w:rFonts w:ascii="宋体" w:hAnsi="宋体"/>
          <w:sz w:val="24"/>
          <w:szCs w:val="28"/>
        </w:rPr>
        <w:t>1-1营业执照等证明文件</w:t>
      </w:r>
      <w:r>
        <w:rPr>
          <w:rFonts w:hint="eastAsia" w:ascii="宋体" w:hAnsi="宋体"/>
          <w:sz w:val="24"/>
          <w:szCs w:val="28"/>
        </w:rPr>
        <w:t>并加盖公章</w:t>
      </w:r>
    </w:p>
    <w:p w14:paraId="22F0C217">
      <w:pPr>
        <w:tabs>
          <w:tab w:val="left" w:pos="1080"/>
        </w:tabs>
        <w:snapToGrid w:val="0"/>
        <w:rPr>
          <w:sz w:val="24"/>
        </w:rPr>
      </w:pPr>
    </w:p>
    <w:p w14:paraId="55B86263">
      <w:pPr>
        <w:adjustRightInd w:val="0"/>
        <w:snapToGrid w:val="0"/>
        <w:spacing w:line="300" w:lineRule="auto"/>
        <w:ind w:left="511" w:leftChars="213"/>
        <w:outlineLvl w:val="3"/>
        <w:rPr>
          <w:b/>
          <w:bCs/>
          <w:color w:val="000000"/>
        </w:rPr>
      </w:pPr>
      <w:r>
        <w:rPr>
          <w:color w:val="000000"/>
          <w:sz w:val="24"/>
        </w:rPr>
        <w:br w:type="page"/>
      </w:r>
      <w:r>
        <w:rPr>
          <w:rFonts w:ascii="宋体" w:hAnsi="宋体"/>
          <w:sz w:val="24"/>
          <w:szCs w:val="28"/>
        </w:rPr>
        <w:t xml:space="preserve">1-2 </w:t>
      </w:r>
      <w:r>
        <w:rPr>
          <w:rFonts w:hint="eastAsia" w:ascii="宋体" w:hAnsi="宋体"/>
          <w:sz w:val="24"/>
          <w:szCs w:val="28"/>
        </w:rPr>
        <w:t>参选人</w:t>
      </w:r>
      <w:r>
        <w:rPr>
          <w:rFonts w:ascii="宋体" w:hAnsi="宋体"/>
          <w:sz w:val="24"/>
          <w:szCs w:val="28"/>
        </w:rPr>
        <w:t>资格声明书（实质性格式）</w:t>
      </w:r>
    </w:p>
    <w:p w14:paraId="7E93C2EB">
      <w:pPr>
        <w:jc w:val="center"/>
        <w:rPr>
          <w:b/>
          <w:color w:val="000000"/>
          <w:sz w:val="36"/>
          <w:szCs w:val="36"/>
        </w:rPr>
      </w:pPr>
      <w:r>
        <w:rPr>
          <w:rFonts w:hint="eastAsia"/>
          <w:b/>
          <w:color w:val="000000"/>
          <w:sz w:val="36"/>
          <w:szCs w:val="36"/>
        </w:rPr>
        <w:t>参选人资格声明书</w:t>
      </w:r>
    </w:p>
    <w:p w14:paraId="53D199A6">
      <w:pPr>
        <w:tabs>
          <w:tab w:val="left" w:pos="5580"/>
        </w:tabs>
        <w:spacing w:line="360" w:lineRule="auto"/>
        <w:rPr>
          <w:sz w:val="24"/>
        </w:rPr>
      </w:pPr>
    </w:p>
    <w:p w14:paraId="58C05AEC">
      <w:pPr>
        <w:tabs>
          <w:tab w:val="left" w:pos="5580"/>
        </w:tabs>
        <w:spacing w:line="360" w:lineRule="auto"/>
        <w:rPr>
          <w:sz w:val="24"/>
        </w:rPr>
      </w:pPr>
      <w:r>
        <w:rPr>
          <w:sz w:val="24"/>
        </w:rPr>
        <w:t>致：</w:t>
      </w:r>
      <w:r>
        <w:rPr>
          <w:sz w:val="24"/>
          <w:u w:val="single"/>
        </w:rPr>
        <w:t>采购人或采购代理机构</w:t>
      </w:r>
    </w:p>
    <w:p w14:paraId="2B634E85">
      <w:pPr>
        <w:spacing w:line="360" w:lineRule="auto"/>
        <w:ind w:firstLine="480" w:firstLineChars="200"/>
        <w:rPr>
          <w:sz w:val="24"/>
        </w:rPr>
      </w:pPr>
      <w:r>
        <w:rPr>
          <w:sz w:val="24"/>
        </w:rPr>
        <w:t>在参与本次项目投标中，我单位承诺：</w:t>
      </w:r>
    </w:p>
    <w:p w14:paraId="026278A8">
      <w:pPr>
        <w:numPr>
          <w:ilvl w:val="0"/>
          <w:numId w:val="22"/>
        </w:numPr>
        <w:spacing w:line="360" w:lineRule="auto"/>
        <w:ind w:left="1134"/>
        <w:rPr>
          <w:sz w:val="24"/>
          <w:szCs w:val="22"/>
        </w:rPr>
      </w:pPr>
      <w:r>
        <w:rPr>
          <w:sz w:val="24"/>
          <w:szCs w:val="22"/>
        </w:rPr>
        <w:t>具有良好的商业信誉和健全的财务会计制度；</w:t>
      </w:r>
    </w:p>
    <w:p w14:paraId="7F9C9DEB">
      <w:pPr>
        <w:numPr>
          <w:ilvl w:val="0"/>
          <w:numId w:val="22"/>
        </w:numPr>
        <w:spacing w:line="360" w:lineRule="auto"/>
        <w:ind w:left="1134"/>
        <w:rPr>
          <w:sz w:val="24"/>
          <w:szCs w:val="22"/>
        </w:rPr>
      </w:pPr>
      <w:r>
        <w:rPr>
          <w:sz w:val="24"/>
          <w:szCs w:val="22"/>
        </w:rPr>
        <w:t>具有履行合同所必需的设备和专业技术能力；</w:t>
      </w:r>
    </w:p>
    <w:p w14:paraId="0D6E0776">
      <w:pPr>
        <w:numPr>
          <w:ilvl w:val="0"/>
          <w:numId w:val="22"/>
        </w:numPr>
        <w:spacing w:line="360" w:lineRule="auto"/>
        <w:ind w:left="1134"/>
        <w:rPr>
          <w:sz w:val="24"/>
          <w:szCs w:val="22"/>
        </w:rPr>
      </w:pPr>
      <w:r>
        <w:rPr>
          <w:sz w:val="24"/>
          <w:szCs w:val="22"/>
        </w:rPr>
        <w:t>有依法缴纳税收和社会保障资金的良好记录；</w:t>
      </w:r>
    </w:p>
    <w:p w14:paraId="76BBA4F9">
      <w:pPr>
        <w:numPr>
          <w:ilvl w:val="0"/>
          <w:numId w:val="22"/>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BF5C0B">
      <w:pPr>
        <w:numPr>
          <w:ilvl w:val="0"/>
          <w:numId w:val="22"/>
        </w:numPr>
        <w:spacing w:line="360" w:lineRule="auto"/>
        <w:ind w:left="1134"/>
        <w:rPr>
          <w:sz w:val="24"/>
          <w:szCs w:val="22"/>
        </w:rPr>
      </w:pPr>
      <w:r>
        <w:rPr>
          <w:rFonts w:hint="eastAsia"/>
          <w:sz w:val="24"/>
        </w:rPr>
        <w:t>我单位未被列入失信被执行人名单、未被限制高消费；</w:t>
      </w:r>
    </w:p>
    <w:p w14:paraId="16B27E18">
      <w:pPr>
        <w:numPr>
          <w:ilvl w:val="0"/>
          <w:numId w:val="22"/>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7E4F649">
      <w:pPr>
        <w:numPr>
          <w:ilvl w:val="0"/>
          <w:numId w:val="2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96CCE95">
      <w:pPr>
        <w:numPr>
          <w:ilvl w:val="0"/>
          <w:numId w:val="22"/>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757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6BB42AE">
            <w:pPr>
              <w:jc w:val="center"/>
              <w:rPr>
                <w:sz w:val="24"/>
              </w:rPr>
            </w:pPr>
            <w:r>
              <w:rPr>
                <w:sz w:val="24"/>
              </w:rPr>
              <w:t>序号</w:t>
            </w:r>
          </w:p>
        </w:tc>
        <w:tc>
          <w:tcPr>
            <w:tcW w:w="4574" w:type="dxa"/>
            <w:vAlign w:val="center"/>
          </w:tcPr>
          <w:p w14:paraId="5B712677">
            <w:pPr>
              <w:jc w:val="center"/>
              <w:rPr>
                <w:sz w:val="24"/>
              </w:rPr>
            </w:pPr>
            <w:r>
              <w:rPr>
                <w:sz w:val="24"/>
              </w:rPr>
              <w:t>单位名称</w:t>
            </w:r>
          </w:p>
        </w:tc>
        <w:tc>
          <w:tcPr>
            <w:tcW w:w="2976" w:type="dxa"/>
            <w:vAlign w:val="center"/>
          </w:tcPr>
          <w:p w14:paraId="10BCAFAA">
            <w:pPr>
              <w:jc w:val="center"/>
              <w:rPr>
                <w:sz w:val="24"/>
              </w:rPr>
            </w:pPr>
            <w:r>
              <w:rPr>
                <w:sz w:val="24"/>
              </w:rPr>
              <w:t>相互关系</w:t>
            </w:r>
          </w:p>
        </w:tc>
      </w:tr>
      <w:tr w14:paraId="1763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50" w:type="dxa"/>
            <w:vAlign w:val="center"/>
          </w:tcPr>
          <w:p w14:paraId="31C7E021">
            <w:pPr>
              <w:jc w:val="center"/>
              <w:rPr>
                <w:sz w:val="24"/>
              </w:rPr>
            </w:pPr>
            <w:r>
              <w:rPr>
                <w:sz w:val="24"/>
              </w:rPr>
              <w:t>1</w:t>
            </w:r>
          </w:p>
        </w:tc>
        <w:tc>
          <w:tcPr>
            <w:tcW w:w="4574" w:type="dxa"/>
            <w:vAlign w:val="center"/>
          </w:tcPr>
          <w:p w14:paraId="309D2662">
            <w:pPr>
              <w:jc w:val="center"/>
              <w:rPr>
                <w:sz w:val="24"/>
              </w:rPr>
            </w:pPr>
          </w:p>
        </w:tc>
        <w:tc>
          <w:tcPr>
            <w:tcW w:w="2976" w:type="dxa"/>
            <w:vAlign w:val="center"/>
          </w:tcPr>
          <w:p w14:paraId="1F58AAC8">
            <w:pPr>
              <w:jc w:val="center"/>
              <w:rPr>
                <w:sz w:val="24"/>
              </w:rPr>
            </w:pPr>
          </w:p>
        </w:tc>
      </w:tr>
      <w:tr w14:paraId="5EC3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50" w:type="dxa"/>
            <w:vAlign w:val="center"/>
          </w:tcPr>
          <w:p w14:paraId="433D490A">
            <w:pPr>
              <w:jc w:val="center"/>
              <w:rPr>
                <w:sz w:val="24"/>
              </w:rPr>
            </w:pPr>
            <w:r>
              <w:rPr>
                <w:sz w:val="24"/>
              </w:rPr>
              <w:t>2</w:t>
            </w:r>
          </w:p>
        </w:tc>
        <w:tc>
          <w:tcPr>
            <w:tcW w:w="4574" w:type="dxa"/>
            <w:vAlign w:val="center"/>
          </w:tcPr>
          <w:p w14:paraId="2935B8D2">
            <w:pPr>
              <w:jc w:val="center"/>
              <w:rPr>
                <w:sz w:val="24"/>
              </w:rPr>
            </w:pPr>
          </w:p>
        </w:tc>
        <w:tc>
          <w:tcPr>
            <w:tcW w:w="2976" w:type="dxa"/>
            <w:vAlign w:val="center"/>
          </w:tcPr>
          <w:p w14:paraId="278A2E2D">
            <w:pPr>
              <w:jc w:val="center"/>
              <w:rPr>
                <w:sz w:val="24"/>
              </w:rPr>
            </w:pPr>
          </w:p>
        </w:tc>
      </w:tr>
      <w:tr w14:paraId="3EFA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950" w:type="dxa"/>
            <w:vAlign w:val="center"/>
          </w:tcPr>
          <w:p w14:paraId="26B7A3F0">
            <w:pPr>
              <w:jc w:val="center"/>
              <w:rPr>
                <w:sz w:val="24"/>
              </w:rPr>
            </w:pPr>
            <w:r>
              <w:rPr>
                <w:sz w:val="24"/>
              </w:rPr>
              <w:t>…</w:t>
            </w:r>
          </w:p>
        </w:tc>
        <w:tc>
          <w:tcPr>
            <w:tcW w:w="4574" w:type="dxa"/>
            <w:vAlign w:val="center"/>
          </w:tcPr>
          <w:p w14:paraId="3C9B7CD5">
            <w:pPr>
              <w:jc w:val="center"/>
              <w:rPr>
                <w:sz w:val="24"/>
              </w:rPr>
            </w:pPr>
          </w:p>
        </w:tc>
        <w:tc>
          <w:tcPr>
            <w:tcW w:w="2976" w:type="dxa"/>
            <w:vAlign w:val="center"/>
          </w:tcPr>
          <w:p w14:paraId="0DBA615F">
            <w:pPr>
              <w:jc w:val="center"/>
              <w:rPr>
                <w:sz w:val="24"/>
              </w:rPr>
            </w:pPr>
          </w:p>
        </w:tc>
      </w:tr>
    </w:tbl>
    <w:p w14:paraId="4523C406"/>
    <w:p w14:paraId="50F43DFE">
      <w:pPr>
        <w:ind w:firstLine="480" w:firstLineChars="200"/>
        <w:rPr>
          <w:sz w:val="24"/>
          <w:szCs w:val="22"/>
        </w:rPr>
      </w:pPr>
      <w:r>
        <w:rPr>
          <w:sz w:val="24"/>
        </w:rPr>
        <w:t>上述声明真实有效，否则我方负全部责任。</w:t>
      </w:r>
    </w:p>
    <w:p w14:paraId="24B59CAE">
      <w:pPr>
        <w:spacing w:line="360" w:lineRule="auto"/>
        <w:rPr>
          <w:sz w:val="24"/>
        </w:rPr>
      </w:pPr>
    </w:p>
    <w:p w14:paraId="09408A11">
      <w:pPr>
        <w:autoSpaceDE w:val="0"/>
        <w:autoSpaceDN w:val="0"/>
        <w:adjustRightInd w:val="0"/>
        <w:snapToGrid w:val="0"/>
        <w:spacing w:before="25" w:after="25" w:line="360" w:lineRule="auto"/>
        <w:jc w:val="right"/>
        <w:rPr>
          <w:color w:val="000000"/>
          <w:sz w:val="24"/>
          <w:lang w:val="zh-CN"/>
        </w:rPr>
      </w:pPr>
      <w:r>
        <w:rPr>
          <w:rFonts w:hint="eastAsia"/>
          <w:color w:val="000000"/>
          <w:sz w:val="24"/>
        </w:rPr>
        <w:t>参选人</w:t>
      </w:r>
      <w:r>
        <w:rPr>
          <w:color w:val="000000"/>
          <w:sz w:val="24"/>
        </w:rPr>
        <w:t>名称（加盖公章）</w:t>
      </w:r>
      <w:r>
        <w:rPr>
          <w:color w:val="000000"/>
          <w:sz w:val="24"/>
          <w:lang w:val="zh-CN"/>
        </w:rPr>
        <w:t>：    ____________</w:t>
      </w:r>
    </w:p>
    <w:p w14:paraId="191F0CA0">
      <w:pPr>
        <w:spacing w:line="360" w:lineRule="auto"/>
        <w:ind w:right="360" w:firstLine="480"/>
        <w:jc w:val="right"/>
        <w:rPr>
          <w:sz w:val="24"/>
        </w:rPr>
      </w:pPr>
      <w:r>
        <w:rPr>
          <w:color w:val="000000"/>
          <w:sz w:val="24"/>
          <w:szCs w:val="20"/>
        </w:rPr>
        <w:t xml:space="preserve">日期：_____年______月______日   </w:t>
      </w:r>
    </w:p>
    <w:p w14:paraId="04410030">
      <w:pPr>
        <w:spacing w:line="360" w:lineRule="auto"/>
        <w:ind w:firstLine="482" w:firstLineChars="200"/>
        <w:rPr>
          <w:b/>
          <w:sz w:val="24"/>
        </w:rPr>
      </w:pPr>
    </w:p>
    <w:p w14:paraId="6425C912">
      <w:pPr>
        <w:spacing w:line="360" w:lineRule="auto"/>
        <w:ind w:firstLine="482" w:firstLineChars="200"/>
        <w:rPr>
          <w:b/>
          <w:sz w:val="24"/>
        </w:rPr>
      </w:pPr>
      <w:r>
        <w:rPr>
          <w:rFonts w:hint="eastAsia"/>
          <w:b/>
          <w:sz w:val="24"/>
        </w:rPr>
        <w:t>若供应商承诺不实，依据《政府采购法》第七十七条“提供虚假材料谋取中选、成交的”有关规定予以处理</w:t>
      </w:r>
      <w:r>
        <w:rPr>
          <w:b/>
          <w:sz w:val="24"/>
        </w:rPr>
        <w:t>。</w:t>
      </w:r>
      <w:r>
        <w:rPr>
          <w:b/>
          <w:sz w:val="24"/>
        </w:rPr>
        <w:br w:type="page"/>
      </w:r>
    </w:p>
    <w:p w14:paraId="79BA863D">
      <w:pPr>
        <w:tabs>
          <w:tab w:val="left" w:pos="5580"/>
        </w:tabs>
        <w:spacing w:line="360" w:lineRule="auto"/>
        <w:rPr>
          <w:sz w:val="24"/>
        </w:rPr>
        <w:sectPr>
          <w:pgSz w:w="11907" w:h="16840"/>
          <w:pgMar w:top="1134" w:right="1418" w:bottom="1134" w:left="1418" w:header="510" w:footer="851" w:gutter="0"/>
          <w:cols w:space="720" w:num="1"/>
          <w:docGrid w:linePitch="462" w:charSpace="0"/>
        </w:sectPr>
      </w:pPr>
    </w:p>
    <w:p w14:paraId="689A56E8">
      <w:pPr>
        <w:spacing w:line="360" w:lineRule="auto"/>
        <w:outlineLvl w:val="2"/>
        <w:rPr>
          <w:color w:val="000000"/>
          <w:sz w:val="24"/>
          <w:szCs w:val="20"/>
          <w:highlight w:val="none"/>
        </w:rPr>
      </w:pPr>
      <w:r>
        <w:rPr>
          <w:color w:val="000000"/>
          <w:sz w:val="24"/>
          <w:szCs w:val="20"/>
          <w:highlight w:val="none"/>
        </w:rPr>
        <w:t>2  落实政府采购政策需满足的资格要求</w:t>
      </w:r>
    </w:p>
    <w:p w14:paraId="5E6BDA11">
      <w:pPr>
        <w:adjustRightInd w:val="0"/>
        <w:snapToGrid w:val="0"/>
        <w:spacing w:line="300" w:lineRule="auto"/>
        <w:ind w:left="511" w:leftChars="213"/>
        <w:outlineLvl w:val="3"/>
        <w:rPr>
          <w:rFonts w:ascii="宋体" w:hAnsi="宋体"/>
          <w:sz w:val="24"/>
          <w:szCs w:val="28"/>
        </w:rPr>
      </w:pPr>
      <w:r>
        <w:rPr>
          <w:rFonts w:ascii="宋体" w:hAnsi="宋体"/>
          <w:sz w:val="24"/>
          <w:szCs w:val="28"/>
        </w:rPr>
        <w:t>2-1中小企业声明函</w:t>
      </w:r>
    </w:p>
    <w:p w14:paraId="5528FA3E">
      <w:pPr>
        <w:tabs>
          <w:tab w:val="left" w:pos="5580"/>
        </w:tabs>
        <w:spacing w:line="360" w:lineRule="auto"/>
        <w:rPr>
          <w:sz w:val="24"/>
        </w:rPr>
      </w:pPr>
    </w:p>
    <w:p w14:paraId="111767DB">
      <w:pPr>
        <w:tabs>
          <w:tab w:val="left" w:pos="5580"/>
        </w:tabs>
        <w:spacing w:line="360" w:lineRule="auto"/>
        <w:rPr>
          <w:sz w:val="24"/>
        </w:rPr>
      </w:pPr>
      <w:r>
        <w:rPr>
          <w:sz w:val="24"/>
        </w:rPr>
        <w:t>说明：</w:t>
      </w:r>
    </w:p>
    <w:p w14:paraId="6AB04FE0">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p>
    <w:p w14:paraId="250B5432">
      <w:pPr>
        <w:tabs>
          <w:tab w:val="left" w:pos="5580"/>
        </w:tabs>
        <w:spacing w:line="360" w:lineRule="auto"/>
        <w:rPr>
          <w:sz w:val="24"/>
        </w:rPr>
      </w:pPr>
      <w:r>
        <w:rPr>
          <w:sz w:val="24"/>
        </w:rPr>
        <w:t>（2）如本项目（包）专门面向中小/小微企业采购，须提供《中小企业声明函》</w:t>
      </w:r>
      <w:r>
        <w:rPr>
          <w:color w:val="000000"/>
          <w:sz w:val="24"/>
          <w:szCs w:val="20"/>
        </w:rPr>
        <w:t>（实质性格式）</w:t>
      </w:r>
      <w:r>
        <w:rPr>
          <w:sz w:val="24"/>
        </w:rPr>
        <w:t>。</w:t>
      </w:r>
    </w:p>
    <w:p w14:paraId="2E89A735">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073A812">
      <w:pPr>
        <w:tabs>
          <w:tab w:val="left" w:pos="5580"/>
        </w:tabs>
        <w:spacing w:line="360" w:lineRule="auto"/>
        <w:rPr>
          <w:sz w:val="24"/>
        </w:rPr>
      </w:pPr>
      <w:r>
        <w:rPr>
          <w:rFonts w:hint="eastAsia"/>
          <w:sz w:val="24"/>
        </w:rPr>
        <w:t>（4）其他</w:t>
      </w:r>
    </w:p>
    <w:p w14:paraId="3CF68F48">
      <w:pPr>
        <w:tabs>
          <w:tab w:val="left" w:pos="5580"/>
        </w:tabs>
        <w:spacing w:line="360" w:lineRule="auto"/>
        <w:rPr>
          <w:sz w:val="24"/>
        </w:rPr>
      </w:pPr>
      <w:r>
        <w:rPr>
          <w:rFonts w:hint="eastAsia"/>
          <w:sz w:val="24"/>
        </w:rPr>
        <w:t>1）中小企业参加政府采购活动，应当出具此格式文件。《中小企业声明函》由参加政府采购活动的参选人出具。联合体投标的，《中小企业声明函》由牵头人出具。</w:t>
      </w:r>
    </w:p>
    <w:p w14:paraId="6773C731">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C12FFCD">
      <w:pPr>
        <w:tabs>
          <w:tab w:val="left" w:pos="5580"/>
        </w:tabs>
        <w:spacing w:line="360" w:lineRule="auto"/>
        <w:rPr>
          <w:sz w:val="24"/>
        </w:rPr>
      </w:pPr>
      <w:r>
        <w:rPr>
          <w:rFonts w:hint="eastAsia"/>
          <w:sz w:val="24"/>
        </w:rPr>
        <w:t>3）对于多标的的采购项目，参选人应充分、准确地了解所投产品制造企业信息。对相关情况了解不清楚的，不建议填报本声明函。</w:t>
      </w:r>
    </w:p>
    <w:p w14:paraId="6E446C4A">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参选人填写所属的行业和指标数据可自动生成企业规模类型测试结果。</w:t>
      </w:r>
    </w:p>
    <w:p w14:paraId="40714362">
      <w:pPr>
        <w:widowControl/>
        <w:jc w:val="left"/>
        <w:rPr>
          <w:sz w:val="24"/>
        </w:rPr>
      </w:pPr>
      <w:r>
        <w:rPr>
          <w:sz w:val="24"/>
        </w:rPr>
        <w:br w:type="page"/>
      </w:r>
    </w:p>
    <w:p w14:paraId="39348636">
      <w:pPr>
        <w:spacing w:before="240" w:beforeLines="100" w:after="240" w:afterLines="100" w:line="360" w:lineRule="auto"/>
        <w:jc w:val="center"/>
        <w:rPr>
          <w:b/>
          <w:bCs/>
          <w:color w:val="000000"/>
          <w:sz w:val="36"/>
          <w:szCs w:val="36"/>
        </w:rPr>
      </w:pPr>
      <w:r>
        <w:rPr>
          <w:rFonts w:hint="eastAsia"/>
          <w:b/>
          <w:bCs/>
          <w:color w:val="000000"/>
          <w:sz w:val="36"/>
          <w:szCs w:val="36"/>
        </w:rPr>
        <w:t>中小企业声明函（工程、服务）格式</w:t>
      </w:r>
    </w:p>
    <w:p w14:paraId="3F30FA00">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FD48C1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69A11841">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3821499F">
      <w:pPr>
        <w:spacing w:line="360" w:lineRule="auto"/>
        <w:ind w:firstLine="504"/>
        <w:rPr>
          <w:spacing w:val="6"/>
          <w:sz w:val="24"/>
        </w:rPr>
      </w:pPr>
    </w:p>
    <w:p w14:paraId="62CCA4B3">
      <w:pPr>
        <w:spacing w:line="360" w:lineRule="auto"/>
        <w:ind w:firstLine="504"/>
        <w:rPr>
          <w:spacing w:val="6"/>
          <w:sz w:val="24"/>
        </w:rPr>
      </w:pPr>
      <w:r>
        <w:rPr>
          <w:spacing w:val="6"/>
          <w:sz w:val="24"/>
        </w:rPr>
        <w:t>……</w:t>
      </w:r>
    </w:p>
    <w:p w14:paraId="29701A6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A2EDB00">
      <w:pPr>
        <w:spacing w:line="360" w:lineRule="auto"/>
        <w:ind w:firstLine="504"/>
        <w:rPr>
          <w:spacing w:val="6"/>
          <w:sz w:val="24"/>
        </w:rPr>
      </w:pPr>
      <w:r>
        <w:rPr>
          <w:spacing w:val="6"/>
          <w:sz w:val="24"/>
        </w:rPr>
        <w:t>本企业对上述声明内容的真实性负责。如有虚假，将依法承担相应责任。</w:t>
      </w:r>
    </w:p>
    <w:p w14:paraId="3CD62CBF">
      <w:pPr>
        <w:spacing w:line="360" w:lineRule="auto"/>
        <w:ind w:right="360" w:firstLine="480"/>
        <w:jc w:val="right"/>
        <w:rPr>
          <w:color w:val="000000"/>
          <w:sz w:val="24"/>
        </w:rPr>
      </w:pPr>
    </w:p>
    <w:p w14:paraId="40E2D0A6">
      <w:pPr>
        <w:spacing w:line="360" w:lineRule="auto"/>
        <w:ind w:right="360" w:firstLine="480"/>
        <w:jc w:val="right"/>
        <w:rPr>
          <w:color w:val="000000"/>
          <w:sz w:val="24"/>
        </w:rPr>
      </w:pPr>
      <w:r>
        <w:rPr>
          <w:color w:val="000000"/>
          <w:sz w:val="24"/>
        </w:rPr>
        <w:t>企业名称（盖章）：________</w:t>
      </w:r>
    </w:p>
    <w:p w14:paraId="4C84B2F7">
      <w:pPr>
        <w:spacing w:line="360" w:lineRule="auto"/>
        <w:ind w:right="360" w:firstLine="480"/>
        <w:jc w:val="right"/>
        <w:rPr>
          <w:color w:val="000000"/>
          <w:sz w:val="24"/>
        </w:rPr>
      </w:pPr>
      <w:r>
        <w:rPr>
          <w:color w:val="000000"/>
          <w:sz w:val="24"/>
        </w:rPr>
        <w:t>日 期：________</w:t>
      </w:r>
    </w:p>
    <w:p w14:paraId="733C6DD8">
      <w:pPr>
        <w:adjustRightInd w:val="0"/>
        <w:snapToGrid w:val="0"/>
        <w:jc w:val="left"/>
        <w:rPr>
          <w:color w:val="000000"/>
          <w:sz w:val="24"/>
          <w:szCs w:val="21"/>
        </w:rPr>
      </w:pPr>
    </w:p>
    <w:p w14:paraId="63B922FD">
      <w:pPr>
        <w:adjustRightInd w:val="0"/>
        <w:snapToGrid w:val="0"/>
        <w:jc w:val="left"/>
        <w:rPr>
          <w:color w:val="000000"/>
          <w:sz w:val="24"/>
          <w:szCs w:val="21"/>
        </w:rPr>
      </w:pPr>
    </w:p>
    <w:tbl>
      <w:tblPr>
        <w:tblStyle w:val="5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1DE9AC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19D40E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3E41D71">
      <w:pPr>
        <w:adjustRightInd w:val="0"/>
        <w:snapToGrid w:val="0"/>
        <w:jc w:val="left"/>
        <w:rPr>
          <w:color w:val="000000"/>
          <w:szCs w:val="21"/>
          <w:vertAlign w:val="superscript"/>
        </w:rPr>
      </w:pPr>
    </w:p>
    <w:p w14:paraId="2C4C71A3">
      <w:pPr>
        <w:spacing w:line="360" w:lineRule="auto"/>
        <w:ind w:right="360" w:firstLine="480"/>
        <w:jc w:val="right"/>
        <w:rPr>
          <w:color w:val="000000"/>
          <w:sz w:val="24"/>
        </w:rPr>
      </w:pPr>
    </w:p>
    <w:p w14:paraId="21E6D763">
      <w:pPr>
        <w:spacing w:line="360" w:lineRule="auto"/>
        <w:ind w:right="360" w:firstLine="480"/>
        <w:jc w:val="right"/>
        <w:rPr>
          <w:color w:val="000000"/>
          <w:sz w:val="24"/>
        </w:rPr>
      </w:pPr>
    </w:p>
    <w:p w14:paraId="477B790E">
      <w:pPr>
        <w:spacing w:line="360" w:lineRule="auto"/>
        <w:ind w:right="360" w:firstLine="480"/>
        <w:jc w:val="right"/>
        <w:rPr>
          <w:color w:val="000000"/>
          <w:sz w:val="24"/>
        </w:rPr>
      </w:pPr>
      <w:r>
        <w:rPr>
          <w:color w:val="000000"/>
          <w:sz w:val="24"/>
        </w:rPr>
        <w:br w:type="page"/>
      </w:r>
    </w:p>
    <w:p w14:paraId="1746DEF4">
      <w:pPr>
        <w:spacing w:line="360" w:lineRule="auto"/>
        <w:ind w:right="360" w:firstLine="480"/>
        <w:jc w:val="right"/>
        <w:rPr>
          <w:color w:val="000000"/>
          <w:sz w:val="24"/>
        </w:rPr>
        <w:sectPr>
          <w:headerReference r:id="rId16" w:type="first"/>
          <w:footerReference r:id="rId18" w:type="first"/>
          <w:headerReference r:id="rId15" w:type="even"/>
          <w:footerReference r:id="rId17" w:type="even"/>
          <w:type w:val="nextColumn"/>
          <w:pgSz w:w="11907" w:h="16840"/>
          <w:pgMar w:top="1134" w:right="1418" w:bottom="1134" w:left="1418" w:header="510" w:footer="851" w:gutter="0"/>
          <w:cols w:space="720" w:num="1"/>
          <w:docGrid w:linePitch="462" w:charSpace="0"/>
        </w:sectPr>
      </w:pPr>
    </w:p>
    <w:p w14:paraId="306FF4CE">
      <w:pPr>
        <w:adjustRightInd w:val="0"/>
        <w:snapToGrid w:val="0"/>
        <w:spacing w:line="300" w:lineRule="auto"/>
        <w:ind w:left="511" w:leftChars="213"/>
        <w:outlineLvl w:val="3"/>
        <w:rPr>
          <w:rFonts w:ascii="宋体" w:hAnsi="宋体"/>
          <w:sz w:val="24"/>
          <w:szCs w:val="28"/>
        </w:rPr>
      </w:pPr>
      <w:r>
        <w:rPr>
          <w:rFonts w:hint="eastAsia" w:ascii="宋体" w:hAnsi="宋体"/>
          <w:sz w:val="24"/>
          <w:szCs w:val="28"/>
        </w:rPr>
        <w:t>2</w:t>
      </w:r>
      <w:r>
        <w:rPr>
          <w:rFonts w:ascii="宋体" w:hAnsi="宋体"/>
          <w:sz w:val="24"/>
          <w:szCs w:val="28"/>
        </w:rPr>
        <w:t xml:space="preserve">-2残疾人福利性单位声明函格式 </w:t>
      </w:r>
    </w:p>
    <w:p w14:paraId="149D145A">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655E65FA">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4636110D">
      <w:pPr>
        <w:spacing w:line="588" w:lineRule="exact"/>
        <w:ind w:firstLine="482"/>
        <w:rPr>
          <w:spacing w:val="6"/>
          <w:sz w:val="24"/>
        </w:rPr>
      </w:pPr>
      <w:r>
        <w:rPr>
          <w:rFonts w:ascii="宋体" w:hAnsi="宋体"/>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C39B6DF">
      <w:pPr>
        <w:spacing w:line="588" w:lineRule="exact"/>
        <w:ind w:firstLine="506" w:firstLineChars="200"/>
        <w:rPr>
          <w:spacing w:val="6"/>
          <w:sz w:val="24"/>
        </w:rPr>
      </w:pPr>
      <w:r>
        <w:rPr>
          <w:b/>
          <w:spacing w:val="6"/>
          <w:sz w:val="24"/>
        </w:rPr>
        <w:t>本单位对上述声明的真实性负责。如有虚假，将依法承担相应责任。</w:t>
      </w:r>
    </w:p>
    <w:p w14:paraId="2E767D8E">
      <w:pPr>
        <w:spacing w:line="588" w:lineRule="exact"/>
        <w:ind w:firstLine="504" w:firstLineChars="200"/>
        <w:rPr>
          <w:spacing w:val="6"/>
          <w:sz w:val="24"/>
        </w:rPr>
      </w:pPr>
    </w:p>
    <w:p w14:paraId="3E12E1C1">
      <w:pPr>
        <w:spacing w:line="588" w:lineRule="exact"/>
        <w:ind w:firstLine="504" w:firstLineChars="200"/>
        <w:rPr>
          <w:spacing w:val="6"/>
          <w:sz w:val="24"/>
        </w:rPr>
      </w:pPr>
    </w:p>
    <w:p w14:paraId="674E3131">
      <w:pPr>
        <w:tabs>
          <w:tab w:val="left" w:pos="4860"/>
        </w:tabs>
        <w:spacing w:line="588" w:lineRule="exact"/>
        <w:ind w:right="1560" w:firstLine="504" w:firstLineChars="200"/>
        <w:jc w:val="center"/>
        <w:rPr>
          <w:spacing w:val="6"/>
          <w:sz w:val="24"/>
        </w:rPr>
      </w:pPr>
      <w:r>
        <w:rPr>
          <w:spacing w:val="6"/>
          <w:sz w:val="24"/>
        </w:rPr>
        <w:t xml:space="preserve">               单位名称（盖章）：</w:t>
      </w:r>
    </w:p>
    <w:p w14:paraId="1071A44A">
      <w:pPr>
        <w:tabs>
          <w:tab w:val="left" w:pos="4860"/>
        </w:tabs>
        <w:spacing w:line="588" w:lineRule="exact"/>
        <w:ind w:right="1560" w:firstLine="504" w:firstLineChars="200"/>
        <w:jc w:val="center"/>
        <w:rPr>
          <w:spacing w:val="6"/>
          <w:sz w:val="24"/>
        </w:rPr>
      </w:pPr>
      <w:r>
        <w:rPr>
          <w:spacing w:val="6"/>
          <w:sz w:val="24"/>
        </w:rPr>
        <w:t xml:space="preserve">       日  期：</w:t>
      </w:r>
    </w:p>
    <w:p w14:paraId="4861FF55">
      <w:pPr>
        <w:outlineLvl w:val="3"/>
        <w:rPr>
          <w:rFonts w:ascii="宋体" w:hAnsi="宋体"/>
          <w:sz w:val="24"/>
          <w:szCs w:val="28"/>
        </w:rPr>
      </w:pPr>
      <w:r>
        <w:rPr>
          <w:spacing w:val="6"/>
          <w:sz w:val="24"/>
        </w:rPr>
        <w:br w:type="page"/>
      </w:r>
      <w:r>
        <w:rPr>
          <w:rFonts w:hint="eastAsia" w:ascii="宋体" w:hAnsi="宋体"/>
          <w:sz w:val="24"/>
          <w:szCs w:val="28"/>
        </w:rPr>
        <w:t>2-3参选人信用记录</w:t>
      </w:r>
    </w:p>
    <w:p w14:paraId="70D97092">
      <w:pPr>
        <w:pStyle w:val="50"/>
        <w:ind w:firstLine="480"/>
      </w:pPr>
      <w:r>
        <w:rPr>
          <w:rFonts w:hint="eastAsia"/>
        </w:rPr>
        <w:t>查询渠道：信用中国网站和中国政府采购网（www.creditchina.gov.cn、www.ccgp.gov.cn）；</w:t>
      </w:r>
    </w:p>
    <w:p w14:paraId="33125782">
      <w:pPr>
        <w:pStyle w:val="50"/>
        <w:ind w:firstLine="480"/>
      </w:pPr>
      <w:r>
        <w:rPr>
          <w:rFonts w:hint="eastAsia"/>
        </w:rPr>
        <w:t>查询时间：在比选报名开始时间至递交响应文件截止时间；</w:t>
      </w:r>
    </w:p>
    <w:p w14:paraId="1A2E0E77">
      <w:pPr>
        <w:pStyle w:val="50"/>
        <w:ind w:firstLine="480"/>
      </w:pPr>
      <w:r>
        <w:rPr>
          <w:rFonts w:hint="eastAsia"/>
        </w:rPr>
        <w:t>信用信息的使用原则：经认定的被列入失信被执行人、重大税收违法案件当事人名单、政府采购严重违法失信行为记录名单的参选人，其投标无效。联合体形式投标的，联合体成员存在不良信用记录，视同联合体存在不良信用记录。</w:t>
      </w:r>
    </w:p>
    <w:p w14:paraId="6021B29F">
      <w:pPr>
        <w:pStyle w:val="50"/>
        <w:ind w:firstLine="482"/>
        <w:rPr>
          <w:b/>
          <w:bCs/>
        </w:rPr>
      </w:pPr>
      <w:r>
        <w:rPr>
          <w:b/>
          <w:bCs/>
        </w:rPr>
        <w:t>参选人</w:t>
      </w:r>
      <w:r>
        <w:rPr>
          <w:rFonts w:hint="eastAsia"/>
          <w:b/>
          <w:bCs/>
        </w:rPr>
        <w:t>须提供查询网页截图，并加盖公章</w:t>
      </w:r>
    </w:p>
    <w:p w14:paraId="71184C1B">
      <w:pPr>
        <w:rPr>
          <w:color w:val="000000"/>
          <w:sz w:val="24"/>
          <w:szCs w:val="20"/>
        </w:rPr>
      </w:pPr>
      <w:r>
        <w:rPr>
          <w:color w:val="000000"/>
          <w:sz w:val="24"/>
          <w:szCs w:val="20"/>
        </w:rPr>
        <w:br w:type="page"/>
      </w:r>
    </w:p>
    <w:p w14:paraId="71FFF8D2">
      <w:pPr>
        <w:spacing w:line="360" w:lineRule="auto"/>
        <w:outlineLvl w:val="2"/>
        <w:rPr>
          <w:color w:val="000000"/>
          <w:sz w:val="24"/>
          <w:szCs w:val="20"/>
        </w:rPr>
      </w:pPr>
      <w:r>
        <w:rPr>
          <w:color w:val="000000"/>
          <w:sz w:val="24"/>
          <w:szCs w:val="20"/>
        </w:rPr>
        <w:t xml:space="preserve">3 </w:t>
      </w:r>
      <w:r>
        <w:rPr>
          <w:rFonts w:hint="eastAsia"/>
          <w:color w:val="000000"/>
          <w:sz w:val="24"/>
          <w:szCs w:val="20"/>
        </w:rPr>
        <w:t>比选保证金凭证/</w:t>
      </w:r>
      <w:r>
        <w:rPr>
          <w:color w:val="000000"/>
          <w:sz w:val="24"/>
          <w:szCs w:val="20"/>
        </w:rPr>
        <w:t>交款单据复印件加盖公章</w:t>
      </w:r>
    </w:p>
    <w:p w14:paraId="75447BFE">
      <w:pPr>
        <w:spacing w:line="360" w:lineRule="auto"/>
        <w:jc w:val="center"/>
        <w:rPr>
          <w:rFonts w:hint="default" w:eastAsia="宋体"/>
          <w:b/>
          <w:bCs/>
          <w:i/>
          <w:iCs/>
          <w:color w:val="000000"/>
          <w:sz w:val="32"/>
          <w:szCs w:val="22"/>
          <w:lang w:val="en-US" w:eastAsia="zh-CN"/>
        </w:rPr>
      </w:pPr>
      <w:r>
        <w:rPr>
          <w:rFonts w:hint="eastAsia"/>
          <w:b/>
          <w:bCs/>
          <w:i/>
          <w:iCs/>
          <w:color w:val="000000"/>
          <w:sz w:val="32"/>
          <w:szCs w:val="22"/>
          <w:lang w:val="en-US" w:eastAsia="zh-CN"/>
        </w:rPr>
        <w:t>本项目不涉及</w:t>
      </w:r>
    </w:p>
    <w:p w14:paraId="06CA08FF">
      <w:r>
        <w:rPr>
          <w:b/>
          <w:bCs/>
          <w:i/>
          <w:iCs/>
          <w:color w:val="000000"/>
          <w:sz w:val="32"/>
          <w:szCs w:val="22"/>
        </w:rPr>
        <w:br w:type="page"/>
      </w:r>
    </w:p>
    <w:p w14:paraId="666A29DD">
      <w:pPr>
        <w:spacing w:line="360" w:lineRule="auto"/>
        <w:outlineLvl w:val="2"/>
        <w:rPr>
          <w:color w:val="000000"/>
          <w:sz w:val="24"/>
          <w:szCs w:val="20"/>
        </w:rPr>
      </w:pPr>
      <w:r>
        <w:rPr>
          <w:rFonts w:hint="eastAsia"/>
          <w:color w:val="000000"/>
          <w:sz w:val="24"/>
          <w:szCs w:val="20"/>
        </w:rPr>
        <w:t>4 特定资格要求</w:t>
      </w:r>
    </w:p>
    <w:p w14:paraId="038EB8E9">
      <w:pPr>
        <w:spacing w:line="360" w:lineRule="auto"/>
        <w:jc w:val="center"/>
        <w:rPr>
          <w:color w:val="000000"/>
          <w:sz w:val="48"/>
          <w:szCs w:val="36"/>
        </w:rPr>
      </w:pPr>
      <w:bookmarkStart w:id="725" w:name="_Hlt520355504"/>
      <w:bookmarkEnd w:id="725"/>
      <w:bookmarkStart w:id="726" w:name="_Hlt520274393"/>
      <w:bookmarkEnd w:id="726"/>
      <w:bookmarkStart w:id="727" w:name="_Hlt520271212"/>
      <w:bookmarkEnd w:id="727"/>
      <w:bookmarkStart w:id="728" w:name="_Hlt520274065"/>
      <w:bookmarkEnd w:id="728"/>
      <w:bookmarkStart w:id="729" w:name="_Hlt520343392"/>
      <w:bookmarkEnd w:id="729"/>
      <w:bookmarkStart w:id="730" w:name="_Hlt520350918"/>
      <w:bookmarkEnd w:id="730"/>
      <w:bookmarkStart w:id="731" w:name="_Hlt520273711"/>
      <w:bookmarkEnd w:id="731"/>
      <w:bookmarkStart w:id="732" w:name="_Hlt520274121"/>
      <w:bookmarkEnd w:id="732"/>
      <w:bookmarkStart w:id="733" w:name="_Hlt520343000"/>
      <w:bookmarkEnd w:id="733"/>
      <w:bookmarkStart w:id="734" w:name="_Hlt520274407"/>
      <w:bookmarkEnd w:id="734"/>
      <w:bookmarkStart w:id="735" w:name="_Ref467988698"/>
      <w:bookmarkStart w:id="736" w:name="_Toc480942349"/>
      <w:bookmarkStart w:id="737" w:name="_Toc150480794"/>
      <w:bookmarkStart w:id="738" w:name="_Toc226309800"/>
      <w:bookmarkStart w:id="739" w:name="_Toc195842921"/>
      <w:bookmarkStart w:id="740" w:name="_Toc226337252"/>
      <w:bookmarkStart w:id="741" w:name="_Toc142311058"/>
      <w:bookmarkStart w:id="742" w:name="_Toc127151556"/>
      <w:bookmarkStart w:id="743" w:name="_Toc226965746"/>
      <w:bookmarkStart w:id="744" w:name="_Toc520356217"/>
      <w:bookmarkStart w:id="745" w:name="_Toc226965829"/>
      <w:bookmarkStart w:id="746" w:name="_Toc150774761"/>
    </w:p>
    <w:p w14:paraId="184BC2DC">
      <w:pPr>
        <w:spacing w:line="360" w:lineRule="auto"/>
        <w:jc w:val="center"/>
        <w:rPr>
          <w:color w:val="000000"/>
          <w:sz w:val="48"/>
          <w:szCs w:val="36"/>
        </w:rPr>
      </w:pPr>
    </w:p>
    <w:p w14:paraId="764653C9">
      <w:pPr>
        <w:spacing w:line="360" w:lineRule="auto"/>
        <w:jc w:val="center"/>
        <w:rPr>
          <w:color w:val="000000"/>
          <w:sz w:val="48"/>
          <w:szCs w:val="36"/>
        </w:rPr>
      </w:pPr>
    </w:p>
    <w:p w14:paraId="67E4A96F">
      <w:pPr>
        <w:spacing w:line="360" w:lineRule="auto"/>
        <w:jc w:val="center"/>
        <w:rPr>
          <w:color w:val="000000"/>
          <w:sz w:val="48"/>
          <w:szCs w:val="36"/>
        </w:rPr>
      </w:pPr>
    </w:p>
    <w:p w14:paraId="6269780C">
      <w:pPr>
        <w:spacing w:line="360" w:lineRule="auto"/>
        <w:jc w:val="center"/>
        <w:rPr>
          <w:color w:val="000000"/>
          <w:sz w:val="48"/>
          <w:szCs w:val="36"/>
        </w:rPr>
      </w:pPr>
    </w:p>
    <w:p w14:paraId="117FC571">
      <w:pPr>
        <w:spacing w:line="360" w:lineRule="auto"/>
        <w:jc w:val="center"/>
        <w:rPr>
          <w:color w:val="000000"/>
          <w:sz w:val="48"/>
          <w:szCs w:val="36"/>
        </w:rPr>
      </w:pPr>
    </w:p>
    <w:p w14:paraId="16760E9E">
      <w:pPr>
        <w:rPr>
          <w:color w:val="000000"/>
          <w:sz w:val="48"/>
          <w:szCs w:val="36"/>
        </w:rPr>
      </w:pPr>
      <w:r>
        <w:rPr>
          <w:rFonts w:hint="eastAsia"/>
          <w:color w:val="000000"/>
          <w:sz w:val="48"/>
          <w:szCs w:val="36"/>
        </w:rPr>
        <w:br w:type="page"/>
      </w:r>
    </w:p>
    <w:p w14:paraId="260BD59D">
      <w:pPr>
        <w:spacing w:line="360" w:lineRule="auto"/>
        <w:jc w:val="center"/>
        <w:rPr>
          <w:color w:val="000000"/>
          <w:sz w:val="48"/>
          <w:szCs w:val="36"/>
        </w:rPr>
      </w:pPr>
    </w:p>
    <w:p w14:paraId="06FAAB10">
      <w:pPr>
        <w:spacing w:line="360" w:lineRule="auto"/>
        <w:jc w:val="center"/>
        <w:rPr>
          <w:color w:val="000000"/>
          <w:sz w:val="48"/>
          <w:szCs w:val="36"/>
        </w:rPr>
      </w:pPr>
    </w:p>
    <w:p w14:paraId="52E47B6A">
      <w:pPr>
        <w:spacing w:line="360" w:lineRule="auto"/>
        <w:jc w:val="center"/>
        <w:rPr>
          <w:color w:val="000000"/>
          <w:sz w:val="48"/>
          <w:szCs w:val="36"/>
        </w:rPr>
      </w:pPr>
    </w:p>
    <w:p w14:paraId="7E94BC68">
      <w:pPr>
        <w:spacing w:line="360" w:lineRule="auto"/>
        <w:jc w:val="center"/>
        <w:rPr>
          <w:color w:val="000000"/>
          <w:sz w:val="48"/>
          <w:szCs w:val="36"/>
        </w:rPr>
      </w:pPr>
    </w:p>
    <w:p w14:paraId="64CF6157">
      <w:pPr>
        <w:spacing w:line="360" w:lineRule="auto"/>
        <w:jc w:val="center"/>
        <w:rPr>
          <w:color w:val="000000"/>
          <w:sz w:val="48"/>
          <w:szCs w:val="36"/>
        </w:rPr>
      </w:pPr>
    </w:p>
    <w:p w14:paraId="73F60C7F">
      <w:pPr>
        <w:spacing w:line="360" w:lineRule="auto"/>
        <w:jc w:val="center"/>
        <w:rPr>
          <w:color w:val="000000"/>
          <w:sz w:val="48"/>
          <w:szCs w:val="36"/>
        </w:rPr>
      </w:pPr>
    </w:p>
    <w:p w14:paraId="4323B797">
      <w:pPr>
        <w:spacing w:line="360" w:lineRule="auto"/>
        <w:jc w:val="center"/>
        <w:rPr>
          <w:color w:val="000000"/>
          <w:sz w:val="48"/>
          <w:szCs w:val="36"/>
        </w:rPr>
      </w:pPr>
    </w:p>
    <w:p w14:paraId="3A6F2CC8">
      <w:pPr>
        <w:spacing w:line="360" w:lineRule="auto"/>
        <w:jc w:val="center"/>
        <w:outlineLvl w:val="2"/>
        <w:rPr>
          <w:color w:val="000000"/>
          <w:sz w:val="48"/>
          <w:szCs w:val="36"/>
        </w:rPr>
      </w:pPr>
      <w:r>
        <w:rPr>
          <w:rFonts w:hint="eastAsia"/>
          <w:color w:val="000000"/>
          <w:sz w:val="48"/>
          <w:szCs w:val="36"/>
        </w:rPr>
        <w:t>商务技术文件部分</w:t>
      </w:r>
    </w:p>
    <w:p w14:paraId="199CC0EB">
      <w:pPr>
        <w:ind w:firstLine="542" w:firstLineChars="150"/>
        <w:rPr>
          <w:b/>
          <w:spacing w:val="20"/>
          <w:sz w:val="32"/>
          <w:szCs w:val="32"/>
        </w:rPr>
      </w:pPr>
    </w:p>
    <w:p w14:paraId="63A089C3">
      <w:pPr>
        <w:ind w:firstLine="542" w:firstLineChars="150"/>
        <w:rPr>
          <w:b/>
          <w:spacing w:val="20"/>
          <w:sz w:val="32"/>
          <w:szCs w:val="32"/>
        </w:rPr>
      </w:pPr>
    </w:p>
    <w:p w14:paraId="45C5D16B">
      <w:pPr>
        <w:jc w:val="center"/>
        <w:rPr>
          <w:b/>
          <w:sz w:val="32"/>
          <w:szCs w:val="32"/>
        </w:rPr>
      </w:pPr>
    </w:p>
    <w:p w14:paraId="04214D4C">
      <w:pPr>
        <w:widowControl/>
        <w:jc w:val="left"/>
        <w:rPr>
          <w:b/>
          <w:sz w:val="24"/>
        </w:rPr>
      </w:pPr>
      <w:r>
        <w:rPr>
          <w:b/>
          <w:sz w:val="24"/>
        </w:rPr>
        <w:br w:type="page"/>
      </w:r>
    </w:p>
    <w:p w14:paraId="7FC8B984">
      <w:pPr>
        <w:spacing w:line="360" w:lineRule="auto"/>
        <w:outlineLvl w:val="2"/>
        <w:rPr>
          <w:color w:val="000000"/>
          <w:sz w:val="24"/>
          <w:szCs w:val="20"/>
        </w:rPr>
      </w:pPr>
      <w:r>
        <w:rPr>
          <w:color w:val="000000"/>
          <w:sz w:val="24"/>
        </w:rPr>
        <w:t>1</w:t>
      </w:r>
      <w:r>
        <w:rPr>
          <w:color w:val="000000"/>
          <w:sz w:val="24"/>
          <w:szCs w:val="20"/>
        </w:rPr>
        <w:t xml:space="preserve">  </w:t>
      </w:r>
      <w:r>
        <w:rPr>
          <w:color w:val="000000"/>
          <w:sz w:val="24"/>
        </w:rPr>
        <w:t>投标</w:t>
      </w:r>
      <w:bookmarkEnd w:id="735"/>
      <w:bookmarkEnd w:id="736"/>
      <w:r>
        <w:rPr>
          <w:color w:val="000000"/>
          <w:sz w:val="24"/>
        </w:rPr>
        <w:t>书</w:t>
      </w:r>
      <w:bookmarkEnd w:id="737"/>
      <w:bookmarkEnd w:id="738"/>
      <w:bookmarkEnd w:id="739"/>
      <w:bookmarkEnd w:id="740"/>
      <w:bookmarkEnd w:id="741"/>
      <w:bookmarkEnd w:id="742"/>
      <w:bookmarkEnd w:id="743"/>
      <w:bookmarkEnd w:id="744"/>
      <w:bookmarkEnd w:id="745"/>
      <w:bookmarkEnd w:id="746"/>
      <w:r>
        <w:rPr>
          <w:color w:val="000000"/>
          <w:sz w:val="24"/>
          <w:szCs w:val="20"/>
        </w:rPr>
        <w:t>（实质性格式）</w:t>
      </w:r>
    </w:p>
    <w:p w14:paraId="7CCD80C4">
      <w:pPr>
        <w:tabs>
          <w:tab w:val="left" w:pos="5580"/>
        </w:tabs>
        <w:spacing w:line="360" w:lineRule="auto"/>
        <w:rPr>
          <w:color w:val="000000"/>
          <w:sz w:val="24"/>
        </w:rPr>
      </w:pPr>
    </w:p>
    <w:p w14:paraId="4FA5B5A0">
      <w:pPr>
        <w:spacing w:line="360" w:lineRule="auto"/>
        <w:jc w:val="center"/>
        <w:rPr>
          <w:b/>
          <w:color w:val="000000"/>
          <w:sz w:val="36"/>
          <w:szCs w:val="36"/>
        </w:rPr>
      </w:pPr>
      <w:r>
        <w:rPr>
          <w:rFonts w:hint="eastAsia"/>
          <w:b/>
          <w:color w:val="000000"/>
          <w:sz w:val="36"/>
          <w:szCs w:val="36"/>
        </w:rPr>
        <w:t>投标书</w:t>
      </w:r>
    </w:p>
    <w:p w14:paraId="6E525C1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4F8B5F7">
      <w:pPr>
        <w:tabs>
          <w:tab w:val="left" w:pos="5580"/>
        </w:tabs>
        <w:spacing w:line="360" w:lineRule="auto"/>
        <w:rPr>
          <w:color w:val="000000"/>
          <w:sz w:val="24"/>
          <w:szCs w:val="20"/>
        </w:rPr>
      </w:pPr>
    </w:p>
    <w:p w14:paraId="08FE9114">
      <w:pPr>
        <w:tabs>
          <w:tab w:val="left" w:pos="5580"/>
        </w:tabs>
        <w:spacing w:line="360" w:lineRule="auto"/>
        <w:ind w:firstLine="408"/>
        <w:rPr>
          <w:color w:val="000000"/>
          <w:sz w:val="24"/>
          <w:szCs w:val="20"/>
        </w:rPr>
      </w:pPr>
      <w:r>
        <w:rPr>
          <w:color w:val="000000"/>
          <w:sz w:val="24"/>
          <w:szCs w:val="20"/>
        </w:rPr>
        <w:t>我方参加你方就___________（项目名称，项目编号/包号）组织的</w:t>
      </w:r>
      <w:r>
        <w:rPr>
          <w:rFonts w:hint="eastAsia"/>
          <w:color w:val="000000"/>
          <w:sz w:val="24"/>
          <w:szCs w:val="20"/>
        </w:rPr>
        <w:t>比选</w:t>
      </w:r>
      <w:r>
        <w:rPr>
          <w:color w:val="000000"/>
          <w:sz w:val="24"/>
          <w:szCs w:val="20"/>
        </w:rPr>
        <w:t>活动，并对此项目进行投标。</w:t>
      </w:r>
    </w:p>
    <w:p w14:paraId="6F683D99">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w:t>
      </w:r>
      <w:r>
        <w:rPr>
          <w:rFonts w:hint="eastAsia"/>
          <w:color w:val="000000"/>
          <w:sz w:val="24"/>
        </w:rPr>
        <w:t>比选文件</w:t>
      </w:r>
      <w:r>
        <w:rPr>
          <w:color w:val="000000"/>
          <w:sz w:val="24"/>
          <w:szCs w:val="20"/>
        </w:rPr>
        <w:t>，自愿参与投标并承诺如下：</w:t>
      </w:r>
    </w:p>
    <w:p w14:paraId="60C84BCF">
      <w:pPr>
        <w:tabs>
          <w:tab w:val="left" w:pos="720"/>
          <w:tab w:val="left" w:pos="900"/>
        </w:tabs>
        <w:spacing w:line="360" w:lineRule="auto"/>
        <w:ind w:left="360" w:firstLine="72" w:firstLineChars="30"/>
        <w:rPr>
          <w:color w:val="000000"/>
          <w:sz w:val="24"/>
          <w:szCs w:val="20"/>
        </w:rPr>
      </w:pPr>
      <w:r>
        <w:rPr>
          <w:color w:val="000000"/>
          <w:sz w:val="24"/>
          <w:szCs w:val="20"/>
        </w:rPr>
        <w:t>（1）本</w:t>
      </w:r>
      <w:r>
        <w:rPr>
          <w:rFonts w:hint="eastAsia"/>
          <w:color w:val="000000"/>
          <w:sz w:val="24"/>
          <w:szCs w:val="20"/>
        </w:rPr>
        <w:t>比选有效期</w:t>
      </w:r>
      <w:r>
        <w:rPr>
          <w:color w:val="000000"/>
          <w:sz w:val="24"/>
          <w:szCs w:val="20"/>
        </w:rPr>
        <w:t>为自提交</w:t>
      </w:r>
      <w:r>
        <w:rPr>
          <w:rFonts w:hint="eastAsia"/>
          <w:color w:val="000000"/>
          <w:sz w:val="24"/>
          <w:szCs w:val="20"/>
        </w:rPr>
        <w:t>响应文件</w:t>
      </w:r>
      <w:r>
        <w:rPr>
          <w:color w:val="000000"/>
          <w:sz w:val="24"/>
          <w:szCs w:val="20"/>
        </w:rPr>
        <w:t>的截止之日起</w:t>
      </w:r>
      <w:r>
        <w:rPr>
          <w:rFonts w:hint="eastAsia"/>
          <w:color w:val="000000"/>
          <w:sz w:val="24"/>
          <w:szCs w:val="20"/>
          <w:u w:val="single"/>
        </w:rPr>
        <w:t>90</w:t>
      </w:r>
      <w:r>
        <w:rPr>
          <w:color w:val="000000"/>
          <w:sz w:val="24"/>
          <w:szCs w:val="20"/>
        </w:rPr>
        <w:t>个日历日。</w:t>
      </w:r>
    </w:p>
    <w:p w14:paraId="13892338">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w:t>
      </w:r>
      <w:r>
        <w:rPr>
          <w:rFonts w:hint="eastAsia"/>
          <w:color w:val="000000"/>
          <w:sz w:val="24"/>
          <w:szCs w:val="20"/>
        </w:rPr>
        <w:t>比选文件</w:t>
      </w:r>
      <w:r>
        <w:rPr>
          <w:color w:val="000000"/>
          <w:sz w:val="24"/>
          <w:szCs w:val="20"/>
        </w:rPr>
        <w:t>的全部要求。</w:t>
      </w:r>
    </w:p>
    <w:p w14:paraId="1789B2CF">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3DB21464">
      <w:pPr>
        <w:tabs>
          <w:tab w:val="left" w:pos="5580"/>
        </w:tabs>
        <w:spacing w:line="360" w:lineRule="auto"/>
        <w:ind w:firstLine="420" w:firstLineChars="175"/>
        <w:rPr>
          <w:color w:val="000000"/>
          <w:sz w:val="24"/>
        </w:rPr>
      </w:pPr>
      <w:r>
        <w:rPr>
          <w:color w:val="000000"/>
          <w:sz w:val="24"/>
          <w:szCs w:val="20"/>
        </w:rPr>
        <w:t>（4）如我方</w:t>
      </w:r>
      <w:r>
        <w:rPr>
          <w:rFonts w:hint="eastAsia"/>
          <w:color w:val="000000"/>
          <w:sz w:val="24"/>
          <w:szCs w:val="20"/>
        </w:rPr>
        <w:t>中选</w:t>
      </w:r>
      <w:r>
        <w:rPr>
          <w:color w:val="000000"/>
          <w:sz w:val="24"/>
          <w:szCs w:val="20"/>
        </w:rPr>
        <w:t>，我方将在法律规定的期限内与你方签订合同，按照</w:t>
      </w:r>
      <w:r>
        <w:rPr>
          <w:rFonts w:hint="eastAsia"/>
          <w:color w:val="000000"/>
          <w:sz w:val="24"/>
          <w:szCs w:val="20"/>
        </w:rPr>
        <w:t>比选文件</w:t>
      </w:r>
      <w:r>
        <w:rPr>
          <w:color w:val="000000"/>
          <w:sz w:val="24"/>
          <w:szCs w:val="20"/>
        </w:rPr>
        <w:t>要求提交履约保证金，并在合同约定的期限内完成合同规定的全部义务。</w:t>
      </w:r>
    </w:p>
    <w:p w14:paraId="4F56AD5A">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71930C5">
      <w:pPr>
        <w:spacing w:line="360" w:lineRule="auto"/>
        <w:ind w:firstLine="480" w:firstLineChars="200"/>
        <w:rPr>
          <w:color w:val="000000"/>
          <w:sz w:val="24"/>
        </w:rPr>
      </w:pPr>
      <w:r>
        <w:rPr>
          <w:color w:val="000000"/>
          <w:sz w:val="24"/>
        </w:rPr>
        <w:t>与本投标有关的一切正式往来信函请寄：</w:t>
      </w:r>
    </w:p>
    <w:p w14:paraId="38BF263B">
      <w:pPr>
        <w:tabs>
          <w:tab w:val="left" w:pos="5580"/>
        </w:tabs>
        <w:spacing w:line="360" w:lineRule="auto"/>
        <w:ind w:left="420"/>
        <w:rPr>
          <w:color w:val="000000"/>
          <w:sz w:val="24"/>
          <w:szCs w:val="20"/>
        </w:rPr>
      </w:pPr>
    </w:p>
    <w:p w14:paraId="086C87E7">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4C033036">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29AA6890">
      <w:pPr>
        <w:tabs>
          <w:tab w:val="left" w:pos="5580"/>
        </w:tabs>
        <w:spacing w:line="360" w:lineRule="auto"/>
        <w:ind w:left="420"/>
        <w:rPr>
          <w:color w:val="000000"/>
          <w:sz w:val="24"/>
          <w:szCs w:val="20"/>
        </w:rPr>
      </w:pPr>
    </w:p>
    <w:p w14:paraId="2FDC8BF2">
      <w:pPr>
        <w:tabs>
          <w:tab w:val="left" w:pos="5580"/>
        </w:tabs>
        <w:spacing w:line="360" w:lineRule="auto"/>
        <w:ind w:left="420"/>
        <w:rPr>
          <w:color w:val="000000"/>
          <w:sz w:val="24"/>
          <w:szCs w:val="20"/>
        </w:rPr>
      </w:pPr>
      <w:r>
        <w:rPr>
          <w:rFonts w:hint="eastAsia"/>
          <w:color w:val="000000"/>
          <w:sz w:val="24"/>
          <w:szCs w:val="20"/>
        </w:rPr>
        <w:t>参选人</w:t>
      </w:r>
      <w:r>
        <w:rPr>
          <w:color w:val="000000"/>
          <w:sz w:val="24"/>
          <w:szCs w:val="20"/>
        </w:rPr>
        <w:t>名称（加盖公章） ___________</w:t>
      </w:r>
    </w:p>
    <w:p w14:paraId="03978CD5">
      <w:pPr>
        <w:tabs>
          <w:tab w:val="left" w:pos="5580"/>
        </w:tabs>
        <w:spacing w:line="360" w:lineRule="auto"/>
        <w:ind w:left="420"/>
        <w:rPr>
          <w:color w:val="000000"/>
          <w:sz w:val="24"/>
          <w:szCs w:val="20"/>
        </w:rPr>
      </w:pPr>
      <w:r>
        <w:rPr>
          <w:rFonts w:hint="eastAsia"/>
          <w:color w:val="000000"/>
          <w:sz w:val="24"/>
          <w:lang w:val="zh-CN"/>
        </w:rPr>
        <w:t>法定代表人或委托代理人（签字</w:t>
      </w:r>
      <w:r>
        <w:rPr>
          <w:rFonts w:hint="eastAsia"/>
          <w:color w:val="000000"/>
          <w:sz w:val="24"/>
          <w:lang w:val="en-US" w:eastAsia="zh-CN"/>
        </w:rPr>
        <w:t>或盖章</w:t>
      </w:r>
      <w:r>
        <w:rPr>
          <w:rFonts w:hint="eastAsia"/>
          <w:color w:val="000000"/>
          <w:sz w:val="24"/>
          <w:lang w:val="zh-CN"/>
        </w:rPr>
        <w:t>）：</w:t>
      </w:r>
      <w:r>
        <w:rPr>
          <w:color w:val="000000"/>
          <w:sz w:val="24"/>
          <w:lang w:val="zh-CN"/>
        </w:rPr>
        <w:t>____________</w:t>
      </w:r>
    </w:p>
    <w:p w14:paraId="50D1DD32">
      <w:pPr>
        <w:tabs>
          <w:tab w:val="left" w:pos="5580"/>
        </w:tabs>
        <w:spacing w:line="360" w:lineRule="auto"/>
        <w:ind w:left="420"/>
        <w:rPr>
          <w:color w:val="000000"/>
          <w:sz w:val="24"/>
          <w:szCs w:val="20"/>
        </w:rPr>
      </w:pPr>
      <w:r>
        <w:rPr>
          <w:color w:val="000000"/>
          <w:sz w:val="24"/>
          <w:szCs w:val="20"/>
        </w:rPr>
        <w:t xml:space="preserve">日期：_____年______月______日    </w:t>
      </w:r>
    </w:p>
    <w:p w14:paraId="1BF595DA">
      <w:pPr>
        <w:tabs>
          <w:tab w:val="left" w:pos="5580"/>
        </w:tabs>
        <w:spacing w:line="360" w:lineRule="auto"/>
        <w:ind w:left="420"/>
        <w:rPr>
          <w:color w:val="000000"/>
          <w:sz w:val="24"/>
          <w:szCs w:val="20"/>
          <w:u w:val="single"/>
        </w:rPr>
      </w:pPr>
    </w:p>
    <w:p w14:paraId="28947B07">
      <w:pPr>
        <w:widowControl/>
        <w:jc w:val="left"/>
        <w:rPr>
          <w:color w:val="000000"/>
          <w:sz w:val="24"/>
        </w:rPr>
      </w:pPr>
      <w:bookmarkStart w:id="747" w:name="_Hlt520356243"/>
      <w:bookmarkEnd w:id="747"/>
      <w:bookmarkStart w:id="748" w:name="_Hlt520355938"/>
      <w:bookmarkEnd w:id="748"/>
      <w:bookmarkStart w:id="749" w:name="_Toc127151557"/>
      <w:bookmarkStart w:id="750" w:name="_Toc195842922"/>
      <w:bookmarkStart w:id="751" w:name="_Toc264969247"/>
      <w:bookmarkStart w:id="752" w:name="_Ref467988705"/>
      <w:bookmarkStart w:id="753" w:name="_Toc480942350"/>
      <w:bookmarkStart w:id="754" w:name="_Toc226965747"/>
      <w:bookmarkStart w:id="755" w:name="_Toc226965830"/>
      <w:bookmarkStart w:id="756" w:name="_Toc142311059"/>
      <w:bookmarkStart w:id="757" w:name="_Toc150480795"/>
      <w:bookmarkStart w:id="758" w:name="_Toc265228395"/>
      <w:bookmarkStart w:id="759" w:name="_Toc520356218"/>
      <w:bookmarkStart w:id="760" w:name="_Toc305158825"/>
      <w:bookmarkStart w:id="761" w:name="_Toc150774762"/>
      <w:bookmarkStart w:id="762" w:name="_Toc226337253"/>
      <w:bookmarkStart w:id="763" w:name="_Toc226309801"/>
      <w:bookmarkStart w:id="764" w:name="_Toc305158899"/>
      <w:r>
        <w:rPr>
          <w:color w:val="000000"/>
          <w:sz w:val="24"/>
        </w:rPr>
        <w:br w:type="page"/>
      </w:r>
    </w:p>
    <w:p w14:paraId="209B376E">
      <w:pPr>
        <w:spacing w:line="360" w:lineRule="auto"/>
        <w:outlineLvl w:val="2"/>
        <w:rPr>
          <w:color w:val="000000"/>
          <w:sz w:val="24"/>
        </w:rPr>
      </w:pPr>
      <w:r>
        <w:rPr>
          <w:rFonts w:hint="eastAsia"/>
          <w:color w:val="000000"/>
          <w:sz w:val="24"/>
        </w:rPr>
        <w:t>2</w:t>
      </w:r>
      <w:r>
        <w:rPr>
          <w:color w:val="000000"/>
          <w:sz w:val="24"/>
        </w:rPr>
        <w:t xml:space="preserve">  授权委托书（实质性格式）</w:t>
      </w:r>
    </w:p>
    <w:p w14:paraId="2FB3E3BA">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041EFAE5">
      <w:pPr>
        <w:spacing w:line="360" w:lineRule="auto"/>
        <w:ind w:firstLine="420"/>
        <w:rPr>
          <w:rFonts w:ascii="宋体" w:hAnsi="宋体"/>
          <w:color w:val="000000"/>
          <w:sz w:val="24"/>
          <w:szCs w:val="20"/>
        </w:rPr>
      </w:pPr>
    </w:p>
    <w:p w14:paraId="38AF4725">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参选人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hint="eastAsia" w:ascii="宋体" w:hAnsi="宋体"/>
          <w:color w:val="000000"/>
          <w:sz w:val="24"/>
          <w:szCs w:val="20"/>
        </w:rPr>
        <w:t>（项目名称，项目编号/包号）响应文件和</w:t>
      </w:r>
      <w:r>
        <w:rPr>
          <w:rFonts w:ascii="宋体" w:hAnsi="宋体"/>
          <w:color w:val="000000"/>
          <w:sz w:val="24"/>
          <w:szCs w:val="20"/>
        </w:rPr>
        <w:t>处理有关事宜，其法律后果由我方承担。</w:t>
      </w:r>
    </w:p>
    <w:p w14:paraId="0AC5EE35">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比选有效期届满</w:t>
      </w:r>
      <w:r>
        <w:rPr>
          <w:rFonts w:ascii="宋体" w:hAnsi="宋体"/>
          <w:color w:val="000000"/>
          <w:sz w:val="24"/>
          <w:szCs w:val="20"/>
        </w:rPr>
        <w:t>之日止。</w:t>
      </w:r>
    </w:p>
    <w:p w14:paraId="2CC66AF0">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426A48C3">
      <w:pPr>
        <w:spacing w:line="360" w:lineRule="auto"/>
        <w:rPr>
          <w:rFonts w:ascii="宋体" w:hAnsi="宋体"/>
          <w:color w:val="000000"/>
          <w:sz w:val="24"/>
          <w:lang w:val="zh-CN"/>
        </w:rPr>
      </w:pPr>
      <w:r>
        <w:rPr>
          <w:rFonts w:hint="eastAsia" w:ascii="宋体" w:hAnsi="宋体"/>
          <w:color w:val="000000"/>
          <w:sz w:val="24"/>
        </w:rPr>
        <w:t>参选人</w:t>
      </w:r>
      <w:r>
        <w:rPr>
          <w:rFonts w:ascii="宋体" w:hAnsi="宋体"/>
          <w:color w:val="000000"/>
          <w:sz w:val="24"/>
        </w:rPr>
        <w:t>名称（加盖公章）</w:t>
      </w:r>
      <w:r>
        <w:rPr>
          <w:rFonts w:ascii="宋体" w:hAnsi="宋体"/>
          <w:color w:val="000000"/>
          <w:sz w:val="24"/>
          <w:lang w:val="zh-CN"/>
        </w:rPr>
        <w:t>：________________</w:t>
      </w:r>
    </w:p>
    <w:p w14:paraId="4650E058">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或盖章）</w:t>
      </w:r>
      <w:r>
        <w:rPr>
          <w:rFonts w:ascii="宋体" w:hAnsi="宋体"/>
          <w:color w:val="000000"/>
          <w:sz w:val="24"/>
          <w:szCs w:val="20"/>
        </w:rPr>
        <w:t>：</w:t>
      </w:r>
      <w:r>
        <w:rPr>
          <w:rFonts w:ascii="宋体" w:hAnsi="宋体"/>
          <w:color w:val="000000"/>
          <w:sz w:val="24"/>
          <w:lang w:val="zh-CN"/>
        </w:rPr>
        <w:t>________________</w:t>
      </w:r>
    </w:p>
    <w:p w14:paraId="36DA1603">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236F3C8A">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3FBE26A8">
      <w:pPr>
        <w:tabs>
          <w:tab w:val="left" w:pos="5580"/>
        </w:tabs>
        <w:spacing w:line="360" w:lineRule="auto"/>
        <w:ind w:firstLine="480" w:firstLineChars="200"/>
        <w:rPr>
          <w:rFonts w:ascii="宋体" w:hAnsi="宋体"/>
          <w:color w:val="000000"/>
          <w:sz w:val="24"/>
          <w:szCs w:val="20"/>
        </w:rPr>
      </w:pPr>
    </w:p>
    <w:p w14:paraId="67E97A94">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复印件：</w:t>
      </w:r>
    </w:p>
    <w:tbl>
      <w:tblPr>
        <w:tblStyle w:val="5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3EB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04D01E1">
            <w:pPr>
              <w:tabs>
                <w:tab w:val="left" w:pos="5580"/>
              </w:tabs>
              <w:spacing w:line="360" w:lineRule="auto"/>
              <w:jc w:val="left"/>
              <w:rPr>
                <w:rFonts w:ascii="宋体" w:hAnsi="宋体"/>
                <w:color w:val="000000"/>
                <w:sz w:val="24"/>
                <w:szCs w:val="20"/>
              </w:rPr>
            </w:pPr>
          </w:p>
          <w:p w14:paraId="3BFE87DD">
            <w:pPr>
              <w:tabs>
                <w:tab w:val="left" w:pos="5580"/>
              </w:tabs>
              <w:spacing w:line="360" w:lineRule="auto"/>
              <w:jc w:val="left"/>
              <w:rPr>
                <w:rFonts w:ascii="宋体" w:hAnsi="宋体"/>
                <w:color w:val="000000"/>
                <w:sz w:val="24"/>
                <w:szCs w:val="20"/>
              </w:rPr>
            </w:pPr>
          </w:p>
          <w:p w14:paraId="5D0CE077">
            <w:pPr>
              <w:tabs>
                <w:tab w:val="left" w:pos="5580"/>
              </w:tabs>
              <w:spacing w:line="360" w:lineRule="auto"/>
              <w:jc w:val="left"/>
              <w:rPr>
                <w:rFonts w:ascii="宋体" w:hAnsi="宋体"/>
                <w:color w:val="000000"/>
                <w:sz w:val="24"/>
                <w:szCs w:val="20"/>
              </w:rPr>
            </w:pPr>
          </w:p>
        </w:tc>
        <w:tc>
          <w:tcPr>
            <w:tcW w:w="4536" w:type="dxa"/>
          </w:tcPr>
          <w:p w14:paraId="3808060A">
            <w:pPr>
              <w:tabs>
                <w:tab w:val="left" w:pos="5580"/>
              </w:tabs>
              <w:spacing w:line="360" w:lineRule="auto"/>
              <w:jc w:val="left"/>
              <w:rPr>
                <w:rFonts w:ascii="宋体" w:hAnsi="宋体"/>
                <w:color w:val="000000"/>
                <w:sz w:val="24"/>
                <w:szCs w:val="20"/>
              </w:rPr>
            </w:pPr>
          </w:p>
          <w:p w14:paraId="36CCCB79">
            <w:pPr>
              <w:tabs>
                <w:tab w:val="left" w:pos="5580"/>
              </w:tabs>
              <w:spacing w:line="360" w:lineRule="auto"/>
              <w:jc w:val="left"/>
              <w:rPr>
                <w:rFonts w:ascii="宋体" w:hAnsi="宋体"/>
                <w:color w:val="000000"/>
                <w:sz w:val="24"/>
                <w:szCs w:val="20"/>
              </w:rPr>
            </w:pPr>
          </w:p>
          <w:p w14:paraId="328A0E74">
            <w:pPr>
              <w:tabs>
                <w:tab w:val="left" w:pos="5580"/>
              </w:tabs>
              <w:spacing w:line="360" w:lineRule="auto"/>
              <w:jc w:val="left"/>
              <w:rPr>
                <w:rFonts w:ascii="宋体" w:hAnsi="宋体"/>
                <w:color w:val="000000"/>
                <w:sz w:val="24"/>
                <w:szCs w:val="20"/>
              </w:rPr>
            </w:pPr>
          </w:p>
        </w:tc>
      </w:tr>
    </w:tbl>
    <w:p w14:paraId="67FCEB42">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复印件：</w:t>
      </w:r>
    </w:p>
    <w:tbl>
      <w:tblPr>
        <w:tblStyle w:val="5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3F1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8F56D9C">
            <w:pPr>
              <w:tabs>
                <w:tab w:val="left" w:pos="5580"/>
              </w:tabs>
              <w:spacing w:line="360" w:lineRule="auto"/>
              <w:jc w:val="left"/>
              <w:rPr>
                <w:rFonts w:ascii="宋体" w:hAnsi="宋体"/>
                <w:color w:val="000000"/>
                <w:sz w:val="24"/>
                <w:szCs w:val="20"/>
              </w:rPr>
            </w:pPr>
          </w:p>
          <w:p w14:paraId="70DFE166">
            <w:pPr>
              <w:tabs>
                <w:tab w:val="left" w:pos="5580"/>
              </w:tabs>
              <w:spacing w:line="360" w:lineRule="auto"/>
              <w:jc w:val="left"/>
              <w:rPr>
                <w:rFonts w:ascii="宋体" w:hAnsi="宋体"/>
                <w:color w:val="000000"/>
                <w:sz w:val="24"/>
                <w:szCs w:val="20"/>
              </w:rPr>
            </w:pPr>
          </w:p>
          <w:p w14:paraId="3AC4FA43">
            <w:pPr>
              <w:tabs>
                <w:tab w:val="left" w:pos="5580"/>
              </w:tabs>
              <w:spacing w:line="360" w:lineRule="auto"/>
              <w:jc w:val="left"/>
              <w:rPr>
                <w:rFonts w:ascii="宋体" w:hAnsi="宋体"/>
                <w:color w:val="000000"/>
                <w:sz w:val="24"/>
                <w:szCs w:val="20"/>
              </w:rPr>
            </w:pPr>
          </w:p>
        </w:tc>
        <w:tc>
          <w:tcPr>
            <w:tcW w:w="4536" w:type="dxa"/>
          </w:tcPr>
          <w:p w14:paraId="7DFE4CB9">
            <w:pPr>
              <w:tabs>
                <w:tab w:val="left" w:pos="5580"/>
              </w:tabs>
              <w:spacing w:line="360" w:lineRule="auto"/>
              <w:jc w:val="left"/>
              <w:rPr>
                <w:rFonts w:ascii="宋体" w:hAnsi="宋体"/>
                <w:color w:val="000000"/>
                <w:sz w:val="24"/>
                <w:szCs w:val="20"/>
              </w:rPr>
            </w:pPr>
          </w:p>
          <w:p w14:paraId="459D21D6">
            <w:pPr>
              <w:tabs>
                <w:tab w:val="left" w:pos="5580"/>
              </w:tabs>
              <w:spacing w:line="360" w:lineRule="auto"/>
              <w:jc w:val="left"/>
              <w:rPr>
                <w:rFonts w:ascii="宋体" w:hAnsi="宋体"/>
                <w:color w:val="000000"/>
                <w:sz w:val="24"/>
                <w:szCs w:val="20"/>
              </w:rPr>
            </w:pPr>
          </w:p>
          <w:p w14:paraId="0F0F46FF">
            <w:pPr>
              <w:tabs>
                <w:tab w:val="left" w:pos="5580"/>
              </w:tabs>
              <w:spacing w:line="360" w:lineRule="auto"/>
              <w:jc w:val="left"/>
              <w:rPr>
                <w:rFonts w:ascii="宋体" w:hAnsi="宋体"/>
                <w:color w:val="000000"/>
                <w:sz w:val="24"/>
                <w:szCs w:val="20"/>
              </w:rPr>
            </w:pPr>
          </w:p>
        </w:tc>
      </w:tr>
    </w:tbl>
    <w:p w14:paraId="45D5D65C">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4580F562">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比选文件</w:t>
      </w:r>
      <w:r>
        <w:rPr>
          <w:rFonts w:ascii="宋体" w:hAnsi="宋体"/>
          <w:color w:val="000000"/>
          <w:sz w:val="24"/>
          <w:szCs w:val="20"/>
        </w:rPr>
        <w:t>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2091F11C">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响应文件</w:t>
      </w:r>
      <w:r>
        <w:rPr>
          <w:rFonts w:ascii="宋体" w:hAnsi="宋体"/>
          <w:color w:val="000000"/>
          <w:sz w:val="24"/>
          <w:szCs w:val="20"/>
        </w:rPr>
        <w:t>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14:paraId="27D5BA95">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14:paraId="57FB2649">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41B70C84">
      <w:pPr>
        <w:kinsoku w:val="0"/>
        <w:overflowPunct w:val="0"/>
        <w:spacing w:line="200" w:lineRule="exact"/>
        <w:rPr>
          <w:rFonts w:ascii="宋体" w:hAnsi="宋体"/>
          <w:sz w:val="20"/>
          <w:szCs w:val="20"/>
        </w:rPr>
      </w:pPr>
    </w:p>
    <w:p w14:paraId="7C704DB2">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19900DD1">
      <w:pPr>
        <w:pStyle w:val="20"/>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0CF9B1EC">
      <w:pPr>
        <w:pStyle w:val="20"/>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38326727">
      <w:pPr>
        <w:pStyle w:val="20"/>
        <w:tabs>
          <w:tab w:val="left" w:pos="2412"/>
          <w:tab w:val="left" w:pos="3883"/>
          <w:tab w:val="left" w:pos="5352"/>
          <w:tab w:val="left" w:pos="6821"/>
        </w:tabs>
        <w:kinsoku w:val="0"/>
        <w:overflowPunct w:val="0"/>
        <w:spacing w:line="335" w:lineRule="exact"/>
      </w:pPr>
    </w:p>
    <w:p w14:paraId="760CCA98">
      <w:pPr>
        <w:pStyle w:val="20"/>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参选人</w:t>
      </w:r>
      <w:r>
        <w:t>名称）的法定代表人（单位负责人）。</w:t>
      </w:r>
    </w:p>
    <w:p w14:paraId="3C975FC8">
      <w:pPr>
        <w:pStyle w:val="20"/>
        <w:tabs>
          <w:tab w:val="left" w:pos="2412"/>
          <w:tab w:val="left" w:pos="3883"/>
          <w:tab w:val="left" w:pos="5352"/>
          <w:tab w:val="left" w:pos="6821"/>
        </w:tabs>
        <w:kinsoku w:val="0"/>
        <w:overflowPunct w:val="0"/>
        <w:spacing w:line="335" w:lineRule="exact"/>
      </w:pPr>
    </w:p>
    <w:p w14:paraId="5ADF8461">
      <w:pPr>
        <w:pStyle w:val="20"/>
        <w:tabs>
          <w:tab w:val="left" w:pos="2412"/>
          <w:tab w:val="left" w:pos="3883"/>
          <w:tab w:val="left" w:pos="5352"/>
          <w:tab w:val="left" w:pos="6821"/>
        </w:tabs>
        <w:kinsoku w:val="0"/>
        <w:overflowPunct w:val="0"/>
        <w:spacing w:line="335" w:lineRule="exact"/>
      </w:pPr>
    </w:p>
    <w:p w14:paraId="435C339E">
      <w:pPr>
        <w:pStyle w:val="20"/>
        <w:tabs>
          <w:tab w:val="left" w:pos="2412"/>
          <w:tab w:val="left" w:pos="3883"/>
          <w:tab w:val="left" w:pos="5352"/>
          <w:tab w:val="left" w:pos="6821"/>
        </w:tabs>
        <w:kinsoku w:val="0"/>
        <w:overflowPunct w:val="0"/>
        <w:spacing w:line="335" w:lineRule="exact"/>
      </w:pPr>
    </w:p>
    <w:p w14:paraId="01B2975C">
      <w:pPr>
        <w:pStyle w:val="20"/>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Style w:val="5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2B9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009FB1C">
            <w:pPr>
              <w:tabs>
                <w:tab w:val="left" w:pos="5580"/>
              </w:tabs>
              <w:spacing w:line="360" w:lineRule="auto"/>
              <w:jc w:val="left"/>
              <w:rPr>
                <w:rFonts w:ascii="宋体" w:hAnsi="宋体"/>
                <w:color w:val="000000"/>
                <w:sz w:val="24"/>
                <w:szCs w:val="20"/>
              </w:rPr>
            </w:pPr>
          </w:p>
          <w:p w14:paraId="728545CB">
            <w:pPr>
              <w:tabs>
                <w:tab w:val="left" w:pos="5580"/>
              </w:tabs>
              <w:spacing w:line="360" w:lineRule="auto"/>
              <w:jc w:val="left"/>
              <w:rPr>
                <w:rFonts w:ascii="宋体" w:hAnsi="宋体"/>
                <w:color w:val="000000"/>
                <w:sz w:val="24"/>
                <w:szCs w:val="20"/>
              </w:rPr>
            </w:pPr>
          </w:p>
          <w:p w14:paraId="3D083048">
            <w:pPr>
              <w:tabs>
                <w:tab w:val="left" w:pos="5580"/>
              </w:tabs>
              <w:spacing w:line="360" w:lineRule="auto"/>
              <w:jc w:val="left"/>
              <w:rPr>
                <w:rFonts w:ascii="宋体" w:hAnsi="宋体"/>
                <w:color w:val="000000"/>
                <w:sz w:val="24"/>
                <w:szCs w:val="20"/>
              </w:rPr>
            </w:pPr>
          </w:p>
        </w:tc>
        <w:tc>
          <w:tcPr>
            <w:tcW w:w="4536" w:type="dxa"/>
          </w:tcPr>
          <w:p w14:paraId="49FEF0CB">
            <w:pPr>
              <w:tabs>
                <w:tab w:val="left" w:pos="5580"/>
              </w:tabs>
              <w:spacing w:line="360" w:lineRule="auto"/>
              <w:jc w:val="left"/>
              <w:rPr>
                <w:rFonts w:ascii="宋体" w:hAnsi="宋体"/>
                <w:color w:val="000000"/>
                <w:sz w:val="24"/>
                <w:szCs w:val="20"/>
              </w:rPr>
            </w:pPr>
          </w:p>
          <w:p w14:paraId="193DBB14">
            <w:pPr>
              <w:tabs>
                <w:tab w:val="left" w:pos="5580"/>
              </w:tabs>
              <w:spacing w:line="360" w:lineRule="auto"/>
              <w:jc w:val="left"/>
              <w:rPr>
                <w:rFonts w:ascii="宋体" w:hAnsi="宋体"/>
                <w:color w:val="000000"/>
                <w:sz w:val="24"/>
                <w:szCs w:val="20"/>
              </w:rPr>
            </w:pPr>
          </w:p>
          <w:p w14:paraId="2C88A001">
            <w:pPr>
              <w:tabs>
                <w:tab w:val="left" w:pos="5580"/>
              </w:tabs>
              <w:spacing w:line="360" w:lineRule="auto"/>
              <w:jc w:val="left"/>
              <w:rPr>
                <w:rFonts w:ascii="宋体" w:hAnsi="宋体"/>
                <w:color w:val="000000"/>
                <w:sz w:val="24"/>
                <w:szCs w:val="20"/>
              </w:rPr>
            </w:pPr>
          </w:p>
        </w:tc>
      </w:tr>
    </w:tbl>
    <w:p w14:paraId="09122BA2">
      <w:pPr>
        <w:pStyle w:val="20"/>
        <w:kinsoku w:val="0"/>
        <w:overflowPunct w:val="0"/>
        <w:spacing w:line="583" w:lineRule="auto"/>
        <w:ind w:right="4305"/>
        <w:rPr>
          <w:spacing w:val="-3"/>
        </w:rPr>
      </w:pPr>
    </w:p>
    <w:p w14:paraId="5FDDDEE7">
      <w:pPr>
        <w:pStyle w:val="20"/>
        <w:kinsoku w:val="0"/>
        <w:overflowPunct w:val="0"/>
        <w:spacing w:line="583" w:lineRule="auto"/>
        <w:ind w:right="4305"/>
        <w:rPr>
          <w:spacing w:val="-3"/>
        </w:rPr>
      </w:pPr>
    </w:p>
    <w:p w14:paraId="607E1787">
      <w:pPr>
        <w:autoSpaceDE w:val="0"/>
        <w:autoSpaceDN w:val="0"/>
        <w:adjustRightInd w:val="0"/>
        <w:snapToGrid w:val="0"/>
        <w:spacing w:line="360" w:lineRule="auto"/>
        <w:rPr>
          <w:rFonts w:ascii="宋体" w:hAnsi="宋体"/>
          <w:color w:val="000000"/>
          <w:sz w:val="24"/>
        </w:rPr>
      </w:pPr>
      <w:r>
        <w:rPr>
          <w:rFonts w:hint="eastAsia" w:ascii="宋体" w:hAnsi="宋体"/>
          <w:color w:val="000000"/>
          <w:sz w:val="24"/>
        </w:rPr>
        <w:t>参选人</w:t>
      </w:r>
      <w:r>
        <w:rPr>
          <w:rFonts w:ascii="宋体" w:hAnsi="宋体"/>
          <w:color w:val="000000"/>
          <w:sz w:val="24"/>
        </w:rPr>
        <w:t>名称（加盖公章）：________________</w:t>
      </w:r>
    </w:p>
    <w:p w14:paraId="7594D9D7">
      <w:pPr>
        <w:autoSpaceDE w:val="0"/>
        <w:autoSpaceDN w:val="0"/>
        <w:adjustRightInd w:val="0"/>
        <w:snapToGrid w:val="0"/>
        <w:spacing w:line="360" w:lineRule="auto"/>
        <w:rPr>
          <w:rFonts w:ascii="宋体" w:hAnsi="宋体"/>
          <w:color w:val="000000"/>
          <w:sz w:val="24"/>
        </w:rPr>
      </w:pPr>
      <w:r>
        <w:rPr>
          <w:rFonts w:hint="eastAsia" w:ascii="宋体" w:hAnsi="宋体"/>
          <w:color w:val="000000"/>
          <w:sz w:val="24"/>
        </w:rPr>
        <w:t>法定代表人（</w:t>
      </w:r>
      <w:r>
        <w:rPr>
          <w:rFonts w:ascii="宋体" w:hAnsi="宋体"/>
          <w:color w:val="000000"/>
          <w:sz w:val="24"/>
        </w:rPr>
        <w:t>单位负责人</w:t>
      </w:r>
      <w:r>
        <w:rPr>
          <w:rFonts w:hint="eastAsia" w:ascii="宋体" w:hAnsi="宋体"/>
          <w:color w:val="000000"/>
          <w:sz w:val="24"/>
        </w:rPr>
        <w:t>）（签字或盖章）：_</w:t>
      </w:r>
      <w:r>
        <w:rPr>
          <w:rFonts w:ascii="宋体" w:hAnsi="宋体"/>
          <w:color w:val="000000"/>
          <w:sz w:val="24"/>
        </w:rPr>
        <w:t>______</w:t>
      </w:r>
    </w:p>
    <w:p w14:paraId="4673B04D">
      <w:pPr>
        <w:autoSpaceDE w:val="0"/>
        <w:autoSpaceDN w:val="0"/>
        <w:adjustRightInd w:val="0"/>
        <w:snapToGrid w:val="0"/>
        <w:spacing w:line="360" w:lineRule="auto"/>
        <w:rPr>
          <w:rFonts w:ascii="宋体" w:hAnsi="宋体"/>
          <w:color w:val="000000"/>
          <w:sz w:val="24"/>
        </w:rPr>
      </w:pPr>
      <w:r>
        <w:rPr>
          <w:rFonts w:ascii="宋体" w:hAnsi="宋体"/>
          <w:color w:val="000000"/>
          <w:sz w:val="24"/>
        </w:rPr>
        <w:t>日期：_____年______月______日</w:t>
      </w:r>
    </w:p>
    <w:p w14:paraId="5AA61CA6">
      <w:pPr>
        <w:widowControl/>
        <w:jc w:val="left"/>
        <w:rPr>
          <w:rFonts w:ascii="宋体" w:hAnsi="宋体"/>
          <w:i/>
          <w:color w:val="000000"/>
          <w:sz w:val="24"/>
          <w:szCs w:val="20"/>
          <w:u w:val="single"/>
        </w:rPr>
      </w:pPr>
    </w:p>
    <w:p w14:paraId="3A8AE75A">
      <w:pPr>
        <w:widowControl/>
        <w:jc w:val="left"/>
        <w:rPr>
          <w:color w:val="000000"/>
          <w:sz w:val="24"/>
          <w:szCs w:val="20"/>
        </w:rPr>
      </w:pPr>
      <w:r>
        <w:rPr>
          <w:color w:val="000000"/>
          <w:sz w:val="24"/>
          <w:szCs w:val="20"/>
        </w:rPr>
        <w:br w:type="page"/>
      </w:r>
    </w:p>
    <w:p w14:paraId="6089C1CA">
      <w:pPr>
        <w:spacing w:line="360" w:lineRule="auto"/>
        <w:outlineLvl w:val="2"/>
        <w:rPr>
          <w:color w:val="000000"/>
          <w:sz w:val="24"/>
          <w:szCs w:val="20"/>
        </w:rPr>
      </w:pPr>
      <w:r>
        <w:rPr>
          <w:rFonts w:hint="eastAsia"/>
          <w:color w:val="000000"/>
          <w:sz w:val="24"/>
          <w:szCs w:val="20"/>
        </w:rPr>
        <w:t>3</w:t>
      </w:r>
      <w:r>
        <w:rPr>
          <w:color w:val="000000"/>
          <w:sz w:val="24"/>
          <w:szCs w:val="20"/>
        </w:rPr>
        <w:t xml:space="preserve">  开标一览表</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color w:val="000000"/>
          <w:sz w:val="24"/>
          <w:szCs w:val="20"/>
        </w:rPr>
        <w:t>（实质性格式）</w:t>
      </w:r>
    </w:p>
    <w:p w14:paraId="0320DA77">
      <w:pPr>
        <w:spacing w:line="360" w:lineRule="exact"/>
        <w:jc w:val="center"/>
        <w:rPr>
          <w:b/>
          <w:color w:val="000000"/>
          <w:sz w:val="36"/>
          <w:szCs w:val="36"/>
        </w:rPr>
      </w:pPr>
      <w:bookmarkStart w:id="765" w:name="_Toc265228396"/>
      <w:bookmarkStart w:id="766" w:name="_Toc226337254"/>
      <w:bookmarkStart w:id="767" w:name="_Toc226965831"/>
      <w:bookmarkStart w:id="768" w:name="_Toc226309802"/>
      <w:bookmarkStart w:id="769" w:name="_Toc264969248"/>
      <w:bookmarkStart w:id="770" w:name="_Toc195842923"/>
      <w:bookmarkStart w:id="771" w:name="_Toc164608672"/>
      <w:bookmarkStart w:id="772" w:name="_Toc305158826"/>
      <w:bookmarkStart w:id="773" w:name="_Toc226965748"/>
      <w:bookmarkStart w:id="774" w:name="_Toc164608827"/>
      <w:bookmarkStart w:id="775" w:name="_Toc305158900"/>
      <w:r>
        <w:rPr>
          <w:rFonts w:hint="eastAsia"/>
          <w:b/>
          <w:color w:val="000000"/>
          <w:sz w:val="36"/>
          <w:szCs w:val="36"/>
        </w:rPr>
        <w:t>开标一览表</w:t>
      </w:r>
      <w:bookmarkEnd w:id="765"/>
      <w:bookmarkEnd w:id="766"/>
      <w:bookmarkEnd w:id="767"/>
      <w:bookmarkEnd w:id="768"/>
      <w:bookmarkEnd w:id="769"/>
      <w:bookmarkEnd w:id="770"/>
      <w:bookmarkEnd w:id="771"/>
      <w:bookmarkEnd w:id="772"/>
      <w:bookmarkEnd w:id="773"/>
      <w:bookmarkEnd w:id="774"/>
      <w:bookmarkEnd w:id="775"/>
    </w:p>
    <w:p w14:paraId="65E6AE52">
      <w:pPr>
        <w:tabs>
          <w:tab w:val="left" w:pos="1800"/>
          <w:tab w:val="left" w:pos="5580"/>
        </w:tabs>
        <w:spacing w:line="360" w:lineRule="auto"/>
        <w:jc w:val="left"/>
        <w:rPr>
          <w:i/>
          <w:color w:val="FF0000"/>
          <w:sz w:val="24"/>
        </w:rPr>
      </w:pPr>
    </w:p>
    <w:p w14:paraId="1332A709">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rFonts w:hint="eastAsia"/>
          <w:color w:val="000000"/>
          <w:sz w:val="24"/>
          <w:u w:val="single"/>
        </w:rPr>
        <w:t xml:space="preserve"> </w:t>
      </w:r>
      <w:r>
        <w:rPr>
          <w:color w:val="000000"/>
          <w:sz w:val="24"/>
          <w:u w:val="single"/>
        </w:rPr>
        <w:t xml:space="preserve">               </w:t>
      </w:r>
      <w:r>
        <w:rPr>
          <w:color w:val="000000"/>
          <w:sz w:val="24"/>
        </w:rPr>
        <w:t xml:space="preserve">    项目名称：</w:t>
      </w:r>
      <w:r>
        <w:rPr>
          <w:rFonts w:hint="eastAsia"/>
          <w:color w:val="000000"/>
          <w:sz w:val="24"/>
        </w:rPr>
        <w:t xml:space="preserve"> </w:t>
      </w:r>
      <w:r>
        <w:rPr>
          <w:color w:val="000000"/>
          <w:sz w:val="24"/>
          <w:u w:val="single"/>
        </w:rPr>
        <w:t xml:space="preserve">                   </w:t>
      </w:r>
    </w:p>
    <w:tbl>
      <w:tblPr>
        <w:tblStyle w:val="51"/>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1849"/>
        <w:gridCol w:w="2558"/>
        <w:gridCol w:w="2256"/>
        <w:gridCol w:w="1834"/>
      </w:tblGrid>
      <w:tr w14:paraId="322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48" w:type="pct"/>
            <w:vMerge w:val="restart"/>
            <w:vAlign w:val="center"/>
          </w:tcPr>
          <w:p w14:paraId="4C9F4783">
            <w:pPr>
              <w:tabs>
                <w:tab w:val="left" w:pos="5580"/>
              </w:tabs>
              <w:jc w:val="center"/>
              <w:rPr>
                <w:rFonts w:ascii="宋体" w:hAnsi="宋体" w:cs="宋体"/>
                <w:b/>
                <w:kern w:val="0"/>
                <w:sz w:val="24"/>
              </w:rPr>
            </w:pPr>
            <w:r>
              <w:rPr>
                <w:rFonts w:hint="eastAsia" w:ascii="宋体" w:hAnsi="宋体" w:cs="宋体"/>
                <w:b/>
                <w:kern w:val="0"/>
                <w:sz w:val="24"/>
              </w:rPr>
              <w:t>序号</w:t>
            </w:r>
          </w:p>
        </w:tc>
        <w:tc>
          <w:tcPr>
            <w:tcW w:w="1012" w:type="pct"/>
            <w:vMerge w:val="restart"/>
            <w:vAlign w:val="center"/>
          </w:tcPr>
          <w:p w14:paraId="649FF68D">
            <w:pPr>
              <w:tabs>
                <w:tab w:val="left" w:pos="5580"/>
              </w:tabs>
              <w:jc w:val="center"/>
              <w:rPr>
                <w:rFonts w:ascii="宋体" w:hAnsi="宋体" w:cs="宋体"/>
                <w:b/>
                <w:kern w:val="0"/>
                <w:sz w:val="24"/>
              </w:rPr>
            </w:pPr>
            <w:r>
              <w:rPr>
                <w:rFonts w:hint="eastAsia" w:ascii="宋体" w:hAnsi="宋体" w:cs="宋体"/>
                <w:b/>
                <w:kern w:val="0"/>
                <w:sz w:val="24"/>
              </w:rPr>
              <w:t>参选人名称</w:t>
            </w:r>
          </w:p>
        </w:tc>
        <w:tc>
          <w:tcPr>
            <w:tcW w:w="2635" w:type="pct"/>
            <w:gridSpan w:val="2"/>
            <w:vAlign w:val="center"/>
          </w:tcPr>
          <w:p w14:paraId="0C7DD990">
            <w:pPr>
              <w:tabs>
                <w:tab w:val="left" w:pos="5580"/>
              </w:tabs>
              <w:jc w:val="center"/>
              <w:rPr>
                <w:rFonts w:ascii="宋体" w:hAnsi="宋体" w:cs="宋体"/>
                <w:b/>
                <w:kern w:val="0"/>
                <w:sz w:val="24"/>
              </w:rPr>
            </w:pPr>
            <w:r>
              <w:rPr>
                <w:rFonts w:hint="eastAsia" w:ascii="宋体" w:hAnsi="宋体" w:cs="宋体"/>
                <w:b/>
                <w:kern w:val="0"/>
                <w:sz w:val="24"/>
              </w:rPr>
              <w:t>参选报价（人民币 元）</w:t>
            </w:r>
          </w:p>
        </w:tc>
        <w:tc>
          <w:tcPr>
            <w:tcW w:w="1004" w:type="pct"/>
            <w:vMerge w:val="restart"/>
            <w:vAlign w:val="center"/>
          </w:tcPr>
          <w:p w14:paraId="564E781B">
            <w:pPr>
              <w:tabs>
                <w:tab w:val="left" w:pos="5580"/>
              </w:tabs>
              <w:jc w:val="center"/>
              <w:rPr>
                <w:rFonts w:ascii="宋体" w:hAnsi="宋体" w:cs="宋体"/>
                <w:b/>
                <w:kern w:val="0"/>
                <w:sz w:val="24"/>
              </w:rPr>
            </w:pPr>
            <w:r>
              <w:rPr>
                <w:rFonts w:hint="eastAsia" w:ascii="宋体" w:hAnsi="宋体" w:cs="宋体"/>
                <w:b/>
                <w:kern w:val="0"/>
                <w:sz w:val="24"/>
              </w:rPr>
              <w:t>备注</w:t>
            </w:r>
          </w:p>
        </w:tc>
      </w:tr>
      <w:tr w14:paraId="3CDE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48" w:type="pct"/>
            <w:vMerge w:val="continue"/>
            <w:vAlign w:val="center"/>
          </w:tcPr>
          <w:p w14:paraId="07BD361F">
            <w:pPr>
              <w:tabs>
                <w:tab w:val="left" w:pos="5580"/>
              </w:tabs>
              <w:jc w:val="center"/>
              <w:rPr>
                <w:rFonts w:ascii="宋体" w:hAnsi="宋体" w:cs="宋体"/>
                <w:kern w:val="0"/>
                <w:sz w:val="24"/>
              </w:rPr>
            </w:pPr>
          </w:p>
        </w:tc>
        <w:tc>
          <w:tcPr>
            <w:tcW w:w="1012" w:type="pct"/>
            <w:vMerge w:val="continue"/>
            <w:vAlign w:val="center"/>
          </w:tcPr>
          <w:p w14:paraId="57C86AB4">
            <w:pPr>
              <w:tabs>
                <w:tab w:val="left" w:pos="5580"/>
              </w:tabs>
              <w:jc w:val="center"/>
              <w:rPr>
                <w:rFonts w:ascii="宋体" w:hAnsi="宋体" w:cs="宋体"/>
                <w:kern w:val="0"/>
                <w:sz w:val="24"/>
              </w:rPr>
            </w:pPr>
          </w:p>
        </w:tc>
        <w:tc>
          <w:tcPr>
            <w:tcW w:w="1400" w:type="pct"/>
            <w:vAlign w:val="center"/>
          </w:tcPr>
          <w:p w14:paraId="6ACD33D4">
            <w:pPr>
              <w:tabs>
                <w:tab w:val="left" w:pos="5580"/>
              </w:tabs>
              <w:jc w:val="center"/>
              <w:rPr>
                <w:rFonts w:ascii="宋体" w:hAnsi="宋体" w:cs="宋体"/>
                <w:b/>
                <w:kern w:val="0"/>
                <w:sz w:val="24"/>
              </w:rPr>
            </w:pPr>
            <w:r>
              <w:rPr>
                <w:rFonts w:hint="eastAsia" w:ascii="宋体" w:hAnsi="宋体" w:cs="宋体"/>
                <w:b/>
                <w:kern w:val="0"/>
                <w:sz w:val="24"/>
              </w:rPr>
              <w:t>大写</w:t>
            </w:r>
          </w:p>
        </w:tc>
        <w:tc>
          <w:tcPr>
            <w:tcW w:w="1234" w:type="pct"/>
            <w:vAlign w:val="center"/>
          </w:tcPr>
          <w:p w14:paraId="3DC3A0F9">
            <w:pPr>
              <w:tabs>
                <w:tab w:val="left" w:pos="5580"/>
              </w:tabs>
              <w:jc w:val="center"/>
              <w:rPr>
                <w:rFonts w:ascii="宋体" w:hAnsi="宋体" w:cs="宋体"/>
                <w:b/>
                <w:kern w:val="0"/>
                <w:sz w:val="24"/>
              </w:rPr>
            </w:pPr>
            <w:r>
              <w:rPr>
                <w:rFonts w:hint="eastAsia" w:ascii="宋体" w:hAnsi="宋体" w:cs="宋体"/>
                <w:b/>
                <w:kern w:val="0"/>
                <w:sz w:val="24"/>
              </w:rPr>
              <w:t>小写</w:t>
            </w:r>
          </w:p>
        </w:tc>
        <w:tc>
          <w:tcPr>
            <w:tcW w:w="1004" w:type="pct"/>
            <w:vMerge w:val="continue"/>
            <w:vAlign w:val="center"/>
          </w:tcPr>
          <w:p w14:paraId="29017F4E">
            <w:pPr>
              <w:tabs>
                <w:tab w:val="left" w:pos="5580"/>
              </w:tabs>
              <w:jc w:val="center"/>
              <w:rPr>
                <w:rFonts w:ascii="宋体" w:hAnsi="宋体" w:cs="宋体"/>
                <w:b/>
                <w:kern w:val="0"/>
                <w:sz w:val="24"/>
              </w:rPr>
            </w:pPr>
          </w:p>
        </w:tc>
      </w:tr>
      <w:tr w14:paraId="50A6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48" w:type="pct"/>
            <w:vAlign w:val="center"/>
          </w:tcPr>
          <w:p w14:paraId="001746F5">
            <w:pPr>
              <w:tabs>
                <w:tab w:val="left" w:pos="5580"/>
              </w:tabs>
              <w:jc w:val="center"/>
              <w:rPr>
                <w:rFonts w:ascii="宋体" w:hAnsi="宋体" w:cs="宋体"/>
                <w:kern w:val="0"/>
                <w:sz w:val="24"/>
              </w:rPr>
            </w:pPr>
          </w:p>
        </w:tc>
        <w:tc>
          <w:tcPr>
            <w:tcW w:w="1012" w:type="pct"/>
            <w:vAlign w:val="center"/>
          </w:tcPr>
          <w:p w14:paraId="7FFEB7EB">
            <w:pPr>
              <w:tabs>
                <w:tab w:val="left" w:pos="5580"/>
              </w:tabs>
              <w:jc w:val="center"/>
              <w:rPr>
                <w:rFonts w:ascii="宋体" w:hAnsi="宋体" w:cs="宋体"/>
                <w:kern w:val="0"/>
                <w:sz w:val="24"/>
              </w:rPr>
            </w:pPr>
          </w:p>
        </w:tc>
        <w:tc>
          <w:tcPr>
            <w:tcW w:w="1400" w:type="pct"/>
            <w:vAlign w:val="center"/>
          </w:tcPr>
          <w:p w14:paraId="6D1F8B23">
            <w:pPr>
              <w:tabs>
                <w:tab w:val="left" w:pos="5580"/>
              </w:tabs>
              <w:jc w:val="center"/>
              <w:rPr>
                <w:rFonts w:ascii="宋体" w:hAnsi="宋体" w:cs="宋体"/>
                <w:kern w:val="0"/>
                <w:sz w:val="24"/>
              </w:rPr>
            </w:pPr>
          </w:p>
        </w:tc>
        <w:tc>
          <w:tcPr>
            <w:tcW w:w="1234" w:type="pct"/>
            <w:vAlign w:val="center"/>
          </w:tcPr>
          <w:p w14:paraId="00924CE6">
            <w:pPr>
              <w:tabs>
                <w:tab w:val="left" w:pos="5580"/>
              </w:tabs>
              <w:jc w:val="center"/>
              <w:rPr>
                <w:rFonts w:ascii="宋体" w:hAnsi="宋体" w:cs="宋体"/>
                <w:kern w:val="0"/>
                <w:sz w:val="24"/>
              </w:rPr>
            </w:pPr>
          </w:p>
        </w:tc>
        <w:tc>
          <w:tcPr>
            <w:tcW w:w="1004" w:type="pct"/>
            <w:vAlign w:val="center"/>
          </w:tcPr>
          <w:p w14:paraId="2AB0C81C">
            <w:pPr>
              <w:tabs>
                <w:tab w:val="left" w:pos="5580"/>
              </w:tabs>
              <w:jc w:val="center"/>
              <w:rPr>
                <w:rFonts w:ascii="宋体" w:hAnsi="宋体" w:cs="宋体"/>
                <w:kern w:val="0"/>
                <w:sz w:val="24"/>
              </w:rPr>
            </w:pPr>
          </w:p>
        </w:tc>
      </w:tr>
    </w:tbl>
    <w:p w14:paraId="39542D48">
      <w:pPr>
        <w:autoSpaceDE w:val="0"/>
        <w:autoSpaceDN w:val="0"/>
        <w:adjustRightInd w:val="0"/>
        <w:jc w:val="left"/>
        <w:rPr>
          <w:color w:val="000000"/>
          <w:kern w:val="0"/>
          <w:sz w:val="24"/>
        </w:rPr>
      </w:pPr>
    </w:p>
    <w:p w14:paraId="15DE841D">
      <w:pPr>
        <w:autoSpaceDE w:val="0"/>
        <w:autoSpaceDN w:val="0"/>
        <w:adjustRightInd w:val="0"/>
        <w:jc w:val="left"/>
        <w:rPr>
          <w:color w:val="000000"/>
          <w:sz w:val="24"/>
          <w:szCs w:val="20"/>
        </w:rPr>
      </w:pPr>
      <w:r>
        <w:rPr>
          <w:color w:val="000000"/>
          <w:kern w:val="0"/>
          <w:sz w:val="24"/>
        </w:rPr>
        <w:t>注：1</w:t>
      </w:r>
      <w:r>
        <w:rPr>
          <w:color w:val="000000"/>
          <w:sz w:val="24"/>
          <w:szCs w:val="20"/>
        </w:rPr>
        <w:t>.此表中，</w:t>
      </w:r>
      <w:r>
        <w:rPr>
          <w:rFonts w:hint="eastAsia"/>
          <w:color w:val="000000"/>
          <w:sz w:val="24"/>
          <w:szCs w:val="20"/>
        </w:rPr>
        <w:t>比选报价</w:t>
      </w:r>
      <w:r>
        <w:rPr>
          <w:color w:val="000000"/>
          <w:sz w:val="24"/>
          <w:szCs w:val="20"/>
        </w:rPr>
        <w:t>应和《投标分项报价表》中的总价相一致。</w:t>
      </w:r>
    </w:p>
    <w:p w14:paraId="46EF2706">
      <w:pPr>
        <w:tabs>
          <w:tab w:val="left" w:pos="5580"/>
        </w:tabs>
        <w:ind w:firstLine="480" w:firstLineChars="200"/>
        <w:jc w:val="left"/>
        <w:rPr>
          <w:color w:val="000000"/>
          <w:sz w:val="24"/>
          <w:szCs w:val="20"/>
        </w:rPr>
      </w:pPr>
      <w:r>
        <w:rPr>
          <w:rFonts w:hint="eastAsia"/>
          <w:color w:val="000000"/>
          <w:sz w:val="24"/>
          <w:szCs w:val="20"/>
        </w:rPr>
        <w:t>2.</w:t>
      </w:r>
      <w:r>
        <w:rPr>
          <w:color w:val="000000"/>
          <w:sz w:val="24"/>
          <w:szCs w:val="20"/>
        </w:rPr>
        <w:t>必须按</w:t>
      </w:r>
      <w:r>
        <w:rPr>
          <w:rFonts w:hint="eastAsia"/>
          <w:color w:val="000000"/>
          <w:sz w:val="24"/>
          <w:szCs w:val="20"/>
        </w:rPr>
        <w:t>本表格式</w:t>
      </w:r>
      <w:r>
        <w:rPr>
          <w:color w:val="000000"/>
          <w:sz w:val="24"/>
          <w:szCs w:val="20"/>
        </w:rPr>
        <w:t>填写。</w:t>
      </w:r>
    </w:p>
    <w:p w14:paraId="210DB2E4">
      <w:pPr>
        <w:pStyle w:val="50"/>
        <w:spacing w:after="0" w:line="240" w:lineRule="auto"/>
        <w:ind w:left="0" w:leftChars="0" w:firstLine="480"/>
      </w:pPr>
      <w:r>
        <w:rPr>
          <w:rFonts w:hint="eastAsia"/>
        </w:rPr>
        <w:t>3.此报价</w:t>
      </w:r>
      <w:r>
        <w:t>应包括为完成本项目所发生的一切费用和税费</w:t>
      </w:r>
      <w:r>
        <w:rPr>
          <w:rFonts w:hint="eastAsia"/>
        </w:rPr>
        <w:t>。</w:t>
      </w:r>
    </w:p>
    <w:p w14:paraId="4922B7A1">
      <w:pPr>
        <w:tabs>
          <w:tab w:val="left" w:pos="5580"/>
        </w:tabs>
        <w:ind w:firstLine="480" w:firstLineChars="200"/>
        <w:rPr>
          <w:color w:val="000000"/>
          <w:sz w:val="24"/>
          <w:szCs w:val="20"/>
        </w:rPr>
      </w:pPr>
    </w:p>
    <w:p w14:paraId="0D6C9B3A">
      <w:pPr>
        <w:autoSpaceDE w:val="0"/>
        <w:autoSpaceDN w:val="0"/>
        <w:adjustRightInd w:val="0"/>
        <w:snapToGrid w:val="0"/>
        <w:spacing w:before="25" w:after="25" w:line="360" w:lineRule="auto"/>
        <w:rPr>
          <w:color w:val="000000"/>
          <w:sz w:val="24"/>
          <w:lang w:val="zh-CN"/>
        </w:rPr>
      </w:pPr>
    </w:p>
    <w:p w14:paraId="0A284BF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61237BE">
      <w:pPr>
        <w:autoSpaceDE w:val="0"/>
        <w:autoSpaceDN w:val="0"/>
        <w:adjustRightInd w:val="0"/>
        <w:snapToGrid w:val="0"/>
        <w:spacing w:before="25" w:after="25" w:line="360" w:lineRule="auto"/>
        <w:rPr>
          <w:color w:val="000000"/>
          <w:sz w:val="24"/>
          <w:lang w:val="zh-CN"/>
        </w:rPr>
      </w:pPr>
      <w:r>
        <w:rPr>
          <w:rFonts w:hint="eastAsia"/>
          <w:color w:val="000000"/>
          <w:sz w:val="24"/>
        </w:rPr>
        <w:t>参选人</w:t>
      </w:r>
      <w:r>
        <w:rPr>
          <w:color w:val="000000"/>
          <w:sz w:val="24"/>
        </w:rPr>
        <w:t>名称（加盖公章）</w:t>
      </w:r>
      <w:r>
        <w:rPr>
          <w:color w:val="000000"/>
          <w:sz w:val="24"/>
          <w:lang w:val="zh-CN"/>
        </w:rPr>
        <w:t>：____________</w:t>
      </w:r>
    </w:p>
    <w:p w14:paraId="0A65A6D7">
      <w:pPr>
        <w:autoSpaceDE w:val="0"/>
        <w:autoSpaceDN w:val="0"/>
        <w:adjustRightInd w:val="0"/>
        <w:snapToGrid w:val="0"/>
        <w:spacing w:before="25" w:after="25" w:line="360" w:lineRule="auto"/>
        <w:rPr>
          <w:color w:val="000000"/>
          <w:sz w:val="24"/>
          <w:lang w:val="zh-CN"/>
        </w:rPr>
      </w:pPr>
      <w:r>
        <w:rPr>
          <w:rFonts w:hint="eastAsia"/>
          <w:color w:val="000000"/>
          <w:sz w:val="24"/>
          <w:lang w:val="zh-CN"/>
        </w:rPr>
        <w:t>法定代表人或委托代理人（签字</w:t>
      </w:r>
      <w:r>
        <w:rPr>
          <w:rFonts w:hint="eastAsia"/>
          <w:color w:val="000000"/>
          <w:sz w:val="24"/>
          <w:lang w:val="en-US" w:eastAsia="zh-CN"/>
        </w:rPr>
        <w:t>或盖章</w:t>
      </w:r>
      <w:r>
        <w:rPr>
          <w:rFonts w:hint="eastAsia"/>
          <w:color w:val="000000"/>
          <w:sz w:val="24"/>
          <w:lang w:val="zh-CN"/>
        </w:rPr>
        <w:t>）：</w:t>
      </w:r>
      <w:r>
        <w:rPr>
          <w:color w:val="000000"/>
          <w:sz w:val="24"/>
          <w:lang w:val="zh-CN"/>
        </w:rPr>
        <w:t>____________</w:t>
      </w:r>
    </w:p>
    <w:p w14:paraId="4F1BF8D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9A25F92">
      <w:pPr>
        <w:widowControl/>
        <w:jc w:val="left"/>
        <w:rPr>
          <w:color w:val="000000"/>
          <w:sz w:val="24"/>
          <w:szCs w:val="20"/>
        </w:rPr>
      </w:pPr>
      <w:bookmarkStart w:id="776" w:name="_Toc226309803"/>
      <w:bookmarkStart w:id="777" w:name="_Toc305158901"/>
      <w:bookmarkStart w:id="778" w:name="_Toc226965832"/>
      <w:bookmarkStart w:id="779" w:name="_Toc150774763"/>
      <w:bookmarkStart w:id="780" w:name="_Toc150480796"/>
      <w:bookmarkStart w:id="781" w:name="_Toc195842924"/>
      <w:bookmarkStart w:id="782" w:name="_Toc127151558"/>
      <w:bookmarkStart w:id="783" w:name="_Toc265228397"/>
      <w:bookmarkStart w:id="784" w:name="_Toc142311060"/>
      <w:bookmarkStart w:id="785" w:name="_Toc226965749"/>
      <w:bookmarkStart w:id="786" w:name="_Toc226337255"/>
      <w:bookmarkStart w:id="787" w:name="_Toc305158827"/>
      <w:bookmarkStart w:id="788" w:name="_Toc264969249"/>
      <w:r>
        <w:rPr>
          <w:color w:val="000000"/>
          <w:sz w:val="24"/>
          <w:szCs w:val="20"/>
        </w:rPr>
        <w:br w:type="page"/>
      </w:r>
    </w:p>
    <w:p w14:paraId="11425A61">
      <w:pPr>
        <w:spacing w:line="360" w:lineRule="auto"/>
        <w:outlineLvl w:val="2"/>
        <w:rPr>
          <w:color w:val="000000"/>
          <w:sz w:val="24"/>
          <w:szCs w:val="20"/>
        </w:rPr>
      </w:pPr>
      <w:r>
        <w:rPr>
          <w:rFonts w:hint="eastAsia"/>
          <w:color w:val="000000"/>
          <w:sz w:val="24"/>
          <w:szCs w:val="20"/>
        </w:rPr>
        <w:t>4</w:t>
      </w:r>
      <w:r>
        <w:rPr>
          <w:color w:val="000000"/>
          <w:sz w:val="24"/>
          <w:szCs w:val="20"/>
        </w:rPr>
        <w:t xml:space="preserve">  投标分项报价表</w:t>
      </w:r>
      <w:bookmarkEnd w:id="776"/>
      <w:bookmarkEnd w:id="777"/>
      <w:bookmarkEnd w:id="778"/>
      <w:bookmarkEnd w:id="779"/>
      <w:bookmarkEnd w:id="780"/>
      <w:bookmarkEnd w:id="781"/>
      <w:bookmarkEnd w:id="782"/>
      <w:bookmarkEnd w:id="783"/>
      <w:bookmarkEnd w:id="784"/>
      <w:bookmarkEnd w:id="785"/>
      <w:bookmarkEnd w:id="786"/>
      <w:bookmarkEnd w:id="787"/>
      <w:bookmarkEnd w:id="788"/>
    </w:p>
    <w:p w14:paraId="304BB0B2">
      <w:pPr>
        <w:spacing w:line="360" w:lineRule="exact"/>
        <w:jc w:val="center"/>
        <w:rPr>
          <w:color w:val="000000"/>
          <w:sz w:val="36"/>
          <w:szCs w:val="36"/>
        </w:rPr>
      </w:pPr>
    </w:p>
    <w:p w14:paraId="3BD037C1">
      <w:pPr>
        <w:autoSpaceDE w:val="0"/>
        <w:autoSpaceDN w:val="0"/>
        <w:adjustRightInd w:val="0"/>
        <w:snapToGrid w:val="0"/>
        <w:spacing w:before="25" w:after="25" w:line="360" w:lineRule="auto"/>
        <w:jc w:val="center"/>
        <w:rPr>
          <w:color w:val="000000"/>
          <w:sz w:val="24"/>
          <w:lang w:val="zh-CN"/>
        </w:rPr>
      </w:pPr>
      <w:r>
        <w:rPr>
          <w:rFonts w:hint="eastAsia"/>
          <w:sz w:val="24"/>
        </w:rPr>
        <w:t>（格式自拟）</w:t>
      </w:r>
    </w:p>
    <w:p w14:paraId="785A246D">
      <w:pPr>
        <w:autoSpaceDE w:val="0"/>
        <w:autoSpaceDN w:val="0"/>
        <w:adjustRightInd w:val="0"/>
        <w:snapToGrid w:val="0"/>
        <w:spacing w:before="25" w:after="25" w:line="360" w:lineRule="auto"/>
        <w:rPr>
          <w:color w:val="000000"/>
          <w:sz w:val="24"/>
          <w:lang w:val="zh-CN"/>
        </w:rPr>
      </w:pPr>
    </w:p>
    <w:p w14:paraId="5195A350">
      <w:pPr>
        <w:autoSpaceDE w:val="0"/>
        <w:autoSpaceDN w:val="0"/>
        <w:adjustRightInd w:val="0"/>
        <w:snapToGrid w:val="0"/>
        <w:spacing w:before="25" w:after="25" w:line="360" w:lineRule="auto"/>
        <w:rPr>
          <w:color w:val="000000"/>
          <w:sz w:val="24"/>
          <w:lang w:val="zh-CN"/>
        </w:rPr>
      </w:pPr>
      <w:r>
        <w:rPr>
          <w:rFonts w:hint="eastAsia"/>
          <w:color w:val="000000"/>
          <w:sz w:val="24"/>
        </w:rPr>
        <w:t>参选人</w:t>
      </w:r>
      <w:r>
        <w:rPr>
          <w:color w:val="000000"/>
          <w:sz w:val="24"/>
        </w:rPr>
        <w:t>名称（加盖公章）</w:t>
      </w:r>
      <w:r>
        <w:rPr>
          <w:color w:val="000000"/>
          <w:sz w:val="24"/>
          <w:lang w:val="zh-CN"/>
        </w:rPr>
        <w:t>：____________</w:t>
      </w:r>
    </w:p>
    <w:p w14:paraId="5FC3A837">
      <w:pPr>
        <w:autoSpaceDE w:val="0"/>
        <w:autoSpaceDN w:val="0"/>
        <w:adjustRightInd w:val="0"/>
        <w:snapToGrid w:val="0"/>
        <w:spacing w:before="25" w:after="25" w:line="360" w:lineRule="auto"/>
        <w:rPr>
          <w:color w:val="000000"/>
          <w:sz w:val="24"/>
          <w:lang w:val="zh-CN"/>
        </w:rPr>
      </w:pPr>
      <w:r>
        <w:rPr>
          <w:rFonts w:hint="eastAsia"/>
          <w:color w:val="000000"/>
          <w:sz w:val="24"/>
          <w:lang w:val="zh-CN"/>
        </w:rPr>
        <w:t>法定代表人或委托代理人（签字</w:t>
      </w:r>
      <w:r>
        <w:rPr>
          <w:rFonts w:hint="eastAsia"/>
          <w:color w:val="000000"/>
          <w:sz w:val="24"/>
          <w:lang w:val="en-US" w:eastAsia="zh-CN"/>
        </w:rPr>
        <w:t>或盖章</w:t>
      </w:r>
      <w:r>
        <w:rPr>
          <w:rFonts w:hint="eastAsia"/>
          <w:color w:val="000000"/>
          <w:sz w:val="24"/>
          <w:lang w:val="zh-CN"/>
        </w:rPr>
        <w:t>）：</w:t>
      </w:r>
      <w:r>
        <w:rPr>
          <w:color w:val="000000"/>
          <w:sz w:val="24"/>
          <w:lang w:val="zh-CN"/>
        </w:rPr>
        <w:t>____________</w:t>
      </w:r>
    </w:p>
    <w:p w14:paraId="16913361">
      <w:pPr>
        <w:autoSpaceDE w:val="0"/>
        <w:autoSpaceDN w:val="0"/>
        <w:adjustRightInd w:val="0"/>
        <w:snapToGrid w:val="0"/>
        <w:spacing w:before="25" w:after="25" w:line="360" w:lineRule="auto"/>
        <w:rPr>
          <w:color w:val="000000"/>
          <w:sz w:val="24"/>
          <w:szCs w:val="20"/>
        </w:rPr>
      </w:pPr>
      <w:r>
        <w:rPr>
          <w:color w:val="000000"/>
          <w:sz w:val="24"/>
          <w:szCs w:val="20"/>
        </w:rPr>
        <w:t xml:space="preserve">日期：_____年______月______日   </w:t>
      </w:r>
    </w:p>
    <w:p w14:paraId="4F14695A">
      <w:pPr>
        <w:widowControl/>
        <w:jc w:val="left"/>
        <w:rPr>
          <w:color w:val="000000"/>
          <w:sz w:val="24"/>
          <w:szCs w:val="20"/>
        </w:rPr>
      </w:pPr>
      <w:r>
        <w:rPr>
          <w:color w:val="000000"/>
          <w:sz w:val="24"/>
          <w:szCs w:val="20"/>
        </w:rPr>
        <w:br w:type="page"/>
      </w:r>
    </w:p>
    <w:p w14:paraId="68977A30">
      <w:pPr>
        <w:spacing w:line="360" w:lineRule="auto"/>
        <w:outlineLvl w:val="2"/>
        <w:rPr>
          <w:color w:val="000000"/>
          <w:sz w:val="24"/>
          <w:szCs w:val="20"/>
        </w:rPr>
      </w:pPr>
      <w:bookmarkStart w:id="789" w:name="_Toc305158830"/>
      <w:bookmarkStart w:id="790" w:name="_Toc226965752"/>
      <w:bookmarkStart w:id="791" w:name="_Toc265228400"/>
      <w:bookmarkStart w:id="792" w:name="_Toc150774765"/>
      <w:bookmarkStart w:id="793" w:name="_Toc195842927"/>
      <w:bookmarkStart w:id="794" w:name="_Toc127151562"/>
      <w:bookmarkStart w:id="795" w:name="_Toc305158904"/>
      <w:bookmarkStart w:id="796" w:name="_Toc226965835"/>
      <w:bookmarkStart w:id="797" w:name="_Toc142311062"/>
      <w:bookmarkStart w:id="798" w:name="_Toc264969252"/>
      <w:bookmarkStart w:id="799" w:name="_Toc226309806"/>
      <w:bookmarkStart w:id="800" w:name="_Toc150480798"/>
      <w:bookmarkStart w:id="801" w:name="_Toc226337258"/>
      <w:bookmarkStart w:id="802" w:name="_Toc150480797"/>
      <w:bookmarkStart w:id="803" w:name="_Toc226965834"/>
      <w:bookmarkStart w:id="804" w:name="_Toc264969251"/>
      <w:bookmarkStart w:id="805" w:name="_Toc226337257"/>
      <w:bookmarkStart w:id="806" w:name="_Toc226309805"/>
      <w:bookmarkStart w:id="807" w:name="_Toc150774764"/>
      <w:bookmarkStart w:id="808" w:name="_Toc142311061"/>
      <w:bookmarkStart w:id="809" w:name="_Toc305158829"/>
      <w:bookmarkStart w:id="810" w:name="_Toc226965751"/>
      <w:bookmarkStart w:id="811" w:name="_Toc305158903"/>
      <w:bookmarkStart w:id="812" w:name="_Toc265228399"/>
      <w:bookmarkStart w:id="813" w:name="_Toc195842926"/>
      <w:bookmarkStart w:id="814" w:name="_Toc127151561"/>
      <w:r>
        <w:rPr>
          <w:rFonts w:hint="eastAsia"/>
          <w:color w:val="000000"/>
          <w:sz w:val="24"/>
          <w:szCs w:val="20"/>
        </w:rPr>
        <w:t>5</w:t>
      </w:r>
      <w:r>
        <w:rPr>
          <w:color w:val="000000"/>
          <w:sz w:val="24"/>
          <w:szCs w:val="20"/>
        </w:rPr>
        <w:t xml:space="preserve">  合同条款偏离表</w:t>
      </w:r>
      <w:bookmarkEnd w:id="789"/>
      <w:bookmarkEnd w:id="790"/>
      <w:bookmarkEnd w:id="791"/>
      <w:bookmarkEnd w:id="792"/>
      <w:bookmarkEnd w:id="793"/>
      <w:bookmarkEnd w:id="794"/>
      <w:bookmarkEnd w:id="795"/>
      <w:bookmarkEnd w:id="796"/>
      <w:bookmarkEnd w:id="797"/>
      <w:bookmarkEnd w:id="798"/>
      <w:bookmarkEnd w:id="799"/>
      <w:bookmarkEnd w:id="800"/>
      <w:bookmarkEnd w:id="801"/>
      <w:r>
        <w:rPr>
          <w:color w:val="000000"/>
          <w:sz w:val="24"/>
          <w:szCs w:val="20"/>
        </w:rPr>
        <w:t>（实质性格式）</w:t>
      </w:r>
    </w:p>
    <w:p w14:paraId="2AD70CBE">
      <w:pPr>
        <w:spacing w:line="360" w:lineRule="auto"/>
        <w:rPr>
          <w:color w:val="000000"/>
          <w:sz w:val="24"/>
          <w:szCs w:val="20"/>
        </w:rPr>
      </w:pPr>
    </w:p>
    <w:p w14:paraId="2CA08860">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1EB187BF">
      <w:pPr>
        <w:spacing w:line="360" w:lineRule="auto"/>
        <w:rPr>
          <w:color w:val="000000"/>
          <w:sz w:val="24"/>
          <w:szCs w:val="20"/>
        </w:rPr>
      </w:pPr>
    </w:p>
    <w:p w14:paraId="05204B37">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1"/>
        <w:gridCol w:w="1981"/>
        <w:gridCol w:w="1982"/>
        <w:gridCol w:w="2424"/>
        <w:gridCol w:w="782"/>
      </w:tblGrid>
      <w:tr w14:paraId="740E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158AD45">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14:paraId="1B15BB88">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487D7211">
            <w:pPr>
              <w:adjustRightInd w:val="0"/>
              <w:snapToGrid w:val="0"/>
              <w:jc w:val="left"/>
              <w:rPr>
                <w:color w:val="000000"/>
                <w:sz w:val="24"/>
              </w:rPr>
            </w:pPr>
            <w:r>
              <w:rPr>
                <w:rFonts w:ascii="宋体" w:hAnsi="宋体"/>
                <w:b/>
                <w:color w:val="000000"/>
                <w:sz w:val="24"/>
              </w:rPr>
              <w:t>□有偏离</w:t>
            </w:r>
            <w:r>
              <w:rPr>
                <w:rFonts w:ascii="宋体" w:hAnsi="宋体"/>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14:paraId="22B8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08ABFA4">
            <w:pPr>
              <w:adjustRightInd w:val="0"/>
              <w:snapToGrid w:val="0"/>
              <w:jc w:val="center"/>
              <w:rPr>
                <w:color w:val="000000"/>
                <w:sz w:val="24"/>
              </w:rPr>
            </w:pPr>
            <w:r>
              <w:rPr>
                <w:color w:val="000000"/>
                <w:sz w:val="24"/>
              </w:rPr>
              <w:t>序号</w:t>
            </w:r>
          </w:p>
        </w:tc>
        <w:tc>
          <w:tcPr>
            <w:tcW w:w="1301" w:type="dxa"/>
            <w:vAlign w:val="center"/>
          </w:tcPr>
          <w:p w14:paraId="61A5DB9F">
            <w:pPr>
              <w:adjustRightInd w:val="0"/>
              <w:snapToGrid w:val="0"/>
              <w:jc w:val="center"/>
              <w:rPr>
                <w:color w:val="000000"/>
                <w:sz w:val="24"/>
              </w:rPr>
            </w:pPr>
            <w:r>
              <w:rPr>
                <w:rFonts w:hint="eastAsia"/>
                <w:color w:val="000000"/>
                <w:sz w:val="24"/>
                <w:szCs w:val="21"/>
              </w:rPr>
              <w:t>比选文件</w:t>
            </w:r>
            <w:r>
              <w:rPr>
                <w:color w:val="000000"/>
                <w:sz w:val="24"/>
              </w:rPr>
              <w:t>条目号（页码）</w:t>
            </w:r>
          </w:p>
        </w:tc>
        <w:tc>
          <w:tcPr>
            <w:tcW w:w="2007" w:type="dxa"/>
            <w:vAlign w:val="center"/>
          </w:tcPr>
          <w:p w14:paraId="7FAA1C42">
            <w:pPr>
              <w:adjustRightInd w:val="0"/>
              <w:snapToGrid w:val="0"/>
              <w:jc w:val="center"/>
              <w:rPr>
                <w:color w:val="000000"/>
                <w:sz w:val="24"/>
              </w:rPr>
            </w:pPr>
            <w:r>
              <w:rPr>
                <w:rFonts w:hint="eastAsia"/>
                <w:color w:val="000000"/>
                <w:sz w:val="24"/>
                <w:szCs w:val="21"/>
              </w:rPr>
              <w:t>比选文件</w:t>
            </w:r>
            <w:r>
              <w:rPr>
                <w:color w:val="000000"/>
                <w:sz w:val="24"/>
              </w:rPr>
              <w:t>要求</w:t>
            </w:r>
          </w:p>
        </w:tc>
        <w:tc>
          <w:tcPr>
            <w:tcW w:w="2008" w:type="dxa"/>
            <w:vAlign w:val="center"/>
          </w:tcPr>
          <w:p w14:paraId="01288B77">
            <w:pPr>
              <w:adjustRightInd w:val="0"/>
              <w:snapToGrid w:val="0"/>
              <w:jc w:val="center"/>
              <w:rPr>
                <w:color w:val="000000"/>
                <w:sz w:val="24"/>
              </w:rPr>
            </w:pPr>
            <w:r>
              <w:rPr>
                <w:rFonts w:hint="eastAsia"/>
                <w:color w:val="000000"/>
                <w:sz w:val="24"/>
              </w:rPr>
              <w:t>响应文件</w:t>
            </w:r>
            <w:r>
              <w:rPr>
                <w:color w:val="000000"/>
                <w:sz w:val="24"/>
              </w:rPr>
              <w:t>内容</w:t>
            </w:r>
          </w:p>
        </w:tc>
        <w:tc>
          <w:tcPr>
            <w:tcW w:w="2458" w:type="dxa"/>
            <w:vAlign w:val="center"/>
          </w:tcPr>
          <w:p w14:paraId="45874D49">
            <w:pPr>
              <w:adjustRightInd w:val="0"/>
              <w:snapToGrid w:val="0"/>
              <w:jc w:val="center"/>
              <w:rPr>
                <w:color w:val="000000"/>
                <w:sz w:val="24"/>
              </w:rPr>
            </w:pPr>
            <w:r>
              <w:rPr>
                <w:color w:val="000000"/>
                <w:sz w:val="24"/>
              </w:rPr>
              <w:t>偏离情况</w:t>
            </w:r>
          </w:p>
        </w:tc>
        <w:tc>
          <w:tcPr>
            <w:tcW w:w="788" w:type="dxa"/>
            <w:vAlign w:val="center"/>
          </w:tcPr>
          <w:p w14:paraId="6B6CF58C">
            <w:pPr>
              <w:adjustRightInd w:val="0"/>
              <w:snapToGrid w:val="0"/>
              <w:jc w:val="center"/>
              <w:rPr>
                <w:color w:val="000000"/>
                <w:sz w:val="24"/>
              </w:rPr>
            </w:pPr>
            <w:r>
              <w:rPr>
                <w:color w:val="000000"/>
                <w:sz w:val="24"/>
              </w:rPr>
              <w:t>说明</w:t>
            </w:r>
          </w:p>
        </w:tc>
      </w:tr>
      <w:tr w14:paraId="17D3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2A7D7A4">
            <w:pPr>
              <w:adjustRightInd w:val="0"/>
              <w:snapToGrid w:val="0"/>
              <w:jc w:val="center"/>
              <w:rPr>
                <w:color w:val="000000"/>
                <w:sz w:val="24"/>
              </w:rPr>
            </w:pPr>
          </w:p>
        </w:tc>
        <w:tc>
          <w:tcPr>
            <w:tcW w:w="1301" w:type="dxa"/>
            <w:vAlign w:val="center"/>
          </w:tcPr>
          <w:p w14:paraId="4B0E7D19">
            <w:pPr>
              <w:adjustRightInd w:val="0"/>
              <w:snapToGrid w:val="0"/>
              <w:jc w:val="center"/>
              <w:rPr>
                <w:color w:val="000000"/>
                <w:sz w:val="24"/>
              </w:rPr>
            </w:pPr>
          </w:p>
        </w:tc>
        <w:tc>
          <w:tcPr>
            <w:tcW w:w="2007" w:type="dxa"/>
            <w:vAlign w:val="center"/>
          </w:tcPr>
          <w:p w14:paraId="1C1F1630">
            <w:pPr>
              <w:adjustRightInd w:val="0"/>
              <w:snapToGrid w:val="0"/>
              <w:jc w:val="center"/>
              <w:rPr>
                <w:color w:val="000000"/>
                <w:sz w:val="24"/>
              </w:rPr>
            </w:pPr>
          </w:p>
        </w:tc>
        <w:tc>
          <w:tcPr>
            <w:tcW w:w="2008" w:type="dxa"/>
            <w:vAlign w:val="center"/>
          </w:tcPr>
          <w:p w14:paraId="79FD02B1">
            <w:pPr>
              <w:adjustRightInd w:val="0"/>
              <w:snapToGrid w:val="0"/>
              <w:jc w:val="center"/>
              <w:rPr>
                <w:color w:val="000000"/>
                <w:sz w:val="24"/>
              </w:rPr>
            </w:pPr>
          </w:p>
        </w:tc>
        <w:tc>
          <w:tcPr>
            <w:tcW w:w="2458" w:type="dxa"/>
            <w:vAlign w:val="center"/>
          </w:tcPr>
          <w:p w14:paraId="523E30C3">
            <w:pPr>
              <w:adjustRightInd w:val="0"/>
              <w:snapToGrid w:val="0"/>
              <w:jc w:val="center"/>
              <w:rPr>
                <w:color w:val="000000"/>
                <w:sz w:val="24"/>
              </w:rPr>
            </w:pPr>
          </w:p>
        </w:tc>
        <w:tc>
          <w:tcPr>
            <w:tcW w:w="788" w:type="dxa"/>
            <w:vAlign w:val="center"/>
          </w:tcPr>
          <w:p w14:paraId="4930DC81">
            <w:pPr>
              <w:adjustRightInd w:val="0"/>
              <w:snapToGrid w:val="0"/>
              <w:jc w:val="center"/>
              <w:rPr>
                <w:color w:val="000000"/>
                <w:sz w:val="24"/>
              </w:rPr>
            </w:pPr>
          </w:p>
        </w:tc>
      </w:tr>
      <w:tr w14:paraId="4EFF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6F9446C">
            <w:pPr>
              <w:adjustRightInd w:val="0"/>
              <w:snapToGrid w:val="0"/>
              <w:jc w:val="center"/>
              <w:rPr>
                <w:color w:val="000000"/>
                <w:sz w:val="24"/>
              </w:rPr>
            </w:pPr>
          </w:p>
        </w:tc>
        <w:tc>
          <w:tcPr>
            <w:tcW w:w="1301" w:type="dxa"/>
            <w:vAlign w:val="center"/>
          </w:tcPr>
          <w:p w14:paraId="01BE59DB">
            <w:pPr>
              <w:adjustRightInd w:val="0"/>
              <w:snapToGrid w:val="0"/>
              <w:jc w:val="center"/>
              <w:rPr>
                <w:color w:val="000000"/>
                <w:sz w:val="24"/>
              </w:rPr>
            </w:pPr>
          </w:p>
        </w:tc>
        <w:tc>
          <w:tcPr>
            <w:tcW w:w="2007" w:type="dxa"/>
            <w:vAlign w:val="center"/>
          </w:tcPr>
          <w:p w14:paraId="18976872">
            <w:pPr>
              <w:adjustRightInd w:val="0"/>
              <w:snapToGrid w:val="0"/>
              <w:jc w:val="center"/>
              <w:rPr>
                <w:color w:val="000000"/>
                <w:sz w:val="24"/>
              </w:rPr>
            </w:pPr>
          </w:p>
        </w:tc>
        <w:tc>
          <w:tcPr>
            <w:tcW w:w="2008" w:type="dxa"/>
            <w:vAlign w:val="center"/>
          </w:tcPr>
          <w:p w14:paraId="5FA9CFAE">
            <w:pPr>
              <w:adjustRightInd w:val="0"/>
              <w:snapToGrid w:val="0"/>
              <w:jc w:val="center"/>
              <w:rPr>
                <w:color w:val="000000"/>
                <w:sz w:val="24"/>
              </w:rPr>
            </w:pPr>
          </w:p>
        </w:tc>
        <w:tc>
          <w:tcPr>
            <w:tcW w:w="2458" w:type="dxa"/>
            <w:vAlign w:val="center"/>
          </w:tcPr>
          <w:p w14:paraId="1EB89643">
            <w:pPr>
              <w:adjustRightInd w:val="0"/>
              <w:snapToGrid w:val="0"/>
              <w:jc w:val="center"/>
              <w:rPr>
                <w:color w:val="000000"/>
                <w:sz w:val="24"/>
              </w:rPr>
            </w:pPr>
          </w:p>
        </w:tc>
        <w:tc>
          <w:tcPr>
            <w:tcW w:w="788" w:type="dxa"/>
            <w:vAlign w:val="center"/>
          </w:tcPr>
          <w:p w14:paraId="0D79B44C">
            <w:pPr>
              <w:adjustRightInd w:val="0"/>
              <w:snapToGrid w:val="0"/>
              <w:jc w:val="center"/>
              <w:rPr>
                <w:color w:val="000000"/>
                <w:sz w:val="24"/>
              </w:rPr>
            </w:pPr>
          </w:p>
        </w:tc>
      </w:tr>
      <w:tr w14:paraId="1613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78EE989">
            <w:pPr>
              <w:adjustRightInd w:val="0"/>
              <w:snapToGrid w:val="0"/>
              <w:jc w:val="center"/>
              <w:rPr>
                <w:color w:val="000000"/>
                <w:sz w:val="24"/>
              </w:rPr>
            </w:pPr>
          </w:p>
        </w:tc>
        <w:tc>
          <w:tcPr>
            <w:tcW w:w="1301" w:type="dxa"/>
            <w:vAlign w:val="center"/>
          </w:tcPr>
          <w:p w14:paraId="61E7C407">
            <w:pPr>
              <w:adjustRightInd w:val="0"/>
              <w:snapToGrid w:val="0"/>
              <w:jc w:val="center"/>
              <w:rPr>
                <w:color w:val="000000"/>
                <w:sz w:val="24"/>
              </w:rPr>
            </w:pPr>
          </w:p>
        </w:tc>
        <w:tc>
          <w:tcPr>
            <w:tcW w:w="2007" w:type="dxa"/>
            <w:vAlign w:val="center"/>
          </w:tcPr>
          <w:p w14:paraId="604BE888">
            <w:pPr>
              <w:adjustRightInd w:val="0"/>
              <w:snapToGrid w:val="0"/>
              <w:jc w:val="center"/>
              <w:rPr>
                <w:color w:val="000000"/>
                <w:sz w:val="24"/>
              </w:rPr>
            </w:pPr>
          </w:p>
        </w:tc>
        <w:tc>
          <w:tcPr>
            <w:tcW w:w="2008" w:type="dxa"/>
            <w:vAlign w:val="center"/>
          </w:tcPr>
          <w:p w14:paraId="3D3B0EB7">
            <w:pPr>
              <w:adjustRightInd w:val="0"/>
              <w:snapToGrid w:val="0"/>
              <w:jc w:val="center"/>
              <w:rPr>
                <w:color w:val="000000"/>
                <w:sz w:val="24"/>
              </w:rPr>
            </w:pPr>
          </w:p>
        </w:tc>
        <w:tc>
          <w:tcPr>
            <w:tcW w:w="2458" w:type="dxa"/>
            <w:vAlign w:val="center"/>
          </w:tcPr>
          <w:p w14:paraId="2CD1E529">
            <w:pPr>
              <w:adjustRightInd w:val="0"/>
              <w:snapToGrid w:val="0"/>
              <w:jc w:val="center"/>
              <w:rPr>
                <w:color w:val="000000"/>
                <w:sz w:val="24"/>
              </w:rPr>
            </w:pPr>
          </w:p>
        </w:tc>
        <w:tc>
          <w:tcPr>
            <w:tcW w:w="788" w:type="dxa"/>
            <w:vAlign w:val="center"/>
          </w:tcPr>
          <w:p w14:paraId="2A891FCF">
            <w:pPr>
              <w:adjustRightInd w:val="0"/>
              <w:snapToGrid w:val="0"/>
              <w:jc w:val="center"/>
              <w:rPr>
                <w:color w:val="000000"/>
                <w:sz w:val="24"/>
              </w:rPr>
            </w:pPr>
          </w:p>
        </w:tc>
      </w:tr>
      <w:tr w14:paraId="7691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0FAC514">
            <w:pPr>
              <w:adjustRightInd w:val="0"/>
              <w:snapToGrid w:val="0"/>
              <w:jc w:val="center"/>
              <w:rPr>
                <w:color w:val="000000"/>
                <w:sz w:val="24"/>
              </w:rPr>
            </w:pPr>
          </w:p>
        </w:tc>
        <w:tc>
          <w:tcPr>
            <w:tcW w:w="1301" w:type="dxa"/>
            <w:vAlign w:val="center"/>
          </w:tcPr>
          <w:p w14:paraId="45E9290D">
            <w:pPr>
              <w:adjustRightInd w:val="0"/>
              <w:snapToGrid w:val="0"/>
              <w:jc w:val="center"/>
              <w:rPr>
                <w:color w:val="000000"/>
                <w:sz w:val="24"/>
              </w:rPr>
            </w:pPr>
          </w:p>
        </w:tc>
        <w:tc>
          <w:tcPr>
            <w:tcW w:w="2007" w:type="dxa"/>
            <w:vAlign w:val="center"/>
          </w:tcPr>
          <w:p w14:paraId="5A45B097">
            <w:pPr>
              <w:adjustRightInd w:val="0"/>
              <w:snapToGrid w:val="0"/>
              <w:jc w:val="center"/>
              <w:rPr>
                <w:color w:val="000000"/>
                <w:sz w:val="24"/>
              </w:rPr>
            </w:pPr>
          </w:p>
        </w:tc>
        <w:tc>
          <w:tcPr>
            <w:tcW w:w="2008" w:type="dxa"/>
            <w:vAlign w:val="center"/>
          </w:tcPr>
          <w:p w14:paraId="4949ABF1">
            <w:pPr>
              <w:adjustRightInd w:val="0"/>
              <w:snapToGrid w:val="0"/>
              <w:jc w:val="center"/>
              <w:rPr>
                <w:color w:val="000000"/>
                <w:sz w:val="24"/>
              </w:rPr>
            </w:pPr>
          </w:p>
        </w:tc>
        <w:tc>
          <w:tcPr>
            <w:tcW w:w="2458" w:type="dxa"/>
            <w:vAlign w:val="center"/>
          </w:tcPr>
          <w:p w14:paraId="0C701BC1">
            <w:pPr>
              <w:adjustRightInd w:val="0"/>
              <w:snapToGrid w:val="0"/>
              <w:jc w:val="center"/>
              <w:rPr>
                <w:color w:val="000000"/>
                <w:sz w:val="24"/>
              </w:rPr>
            </w:pPr>
          </w:p>
        </w:tc>
        <w:tc>
          <w:tcPr>
            <w:tcW w:w="788" w:type="dxa"/>
            <w:vAlign w:val="center"/>
          </w:tcPr>
          <w:p w14:paraId="11B0F306">
            <w:pPr>
              <w:adjustRightInd w:val="0"/>
              <w:snapToGrid w:val="0"/>
              <w:jc w:val="center"/>
              <w:rPr>
                <w:color w:val="000000"/>
                <w:sz w:val="24"/>
              </w:rPr>
            </w:pPr>
          </w:p>
        </w:tc>
      </w:tr>
    </w:tbl>
    <w:p w14:paraId="7E4DBB2B">
      <w:pPr>
        <w:tabs>
          <w:tab w:val="left" w:pos="1800"/>
          <w:tab w:val="left" w:pos="5580"/>
        </w:tabs>
        <w:jc w:val="left"/>
        <w:rPr>
          <w:color w:val="000000"/>
          <w:sz w:val="24"/>
        </w:rPr>
      </w:pPr>
    </w:p>
    <w:p w14:paraId="47D3920F">
      <w:pPr>
        <w:tabs>
          <w:tab w:val="left" w:pos="1800"/>
          <w:tab w:val="left" w:pos="5580"/>
        </w:tabs>
        <w:jc w:val="left"/>
        <w:rPr>
          <w:color w:val="000000"/>
          <w:sz w:val="24"/>
        </w:rPr>
      </w:pPr>
      <w:r>
        <w:rPr>
          <w:color w:val="000000"/>
          <w:sz w:val="24"/>
        </w:rPr>
        <w:t>注：</w:t>
      </w:r>
    </w:p>
    <w:p w14:paraId="7C9AEEEE">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36D11EBA">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3F7B6AFC">
      <w:pPr>
        <w:spacing w:line="360" w:lineRule="auto"/>
        <w:rPr>
          <w:color w:val="000000"/>
          <w:sz w:val="24"/>
          <w:szCs w:val="20"/>
        </w:rPr>
      </w:pPr>
    </w:p>
    <w:p w14:paraId="55F93D5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FE5C7F1">
      <w:pPr>
        <w:autoSpaceDE w:val="0"/>
        <w:autoSpaceDN w:val="0"/>
        <w:adjustRightInd w:val="0"/>
        <w:snapToGrid w:val="0"/>
        <w:spacing w:before="25" w:after="25" w:line="360" w:lineRule="auto"/>
        <w:rPr>
          <w:color w:val="000000"/>
          <w:sz w:val="24"/>
          <w:lang w:val="zh-CN"/>
        </w:rPr>
      </w:pPr>
      <w:r>
        <w:rPr>
          <w:rFonts w:hint="eastAsia"/>
          <w:color w:val="000000"/>
          <w:sz w:val="24"/>
        </w:rPr>
        <w:t>参选人</w:t>
      </w:r>
      <w:r>
        <w:rPr>
          <w:color w:val="000000"/>
          <w:sz w:val="24"/>
        </w:rPr>
        <w:t>名称（加盖公章）</w:t>
      </w:r>
      <w:r>
        <w:rPr>
          <w:color w:val="000000"/>
          <w:sz w:val="24"/>
          <w:lang w:val="zh-CN"/>
        </w:rPr>
        <w:t>：    ____________</w:t>
      </w:r>
    </w:p>
    <w:p w14:paraId="7E53CD1D">
      <w:pPr>
        <w:autoSpaceDE w:val="0"/>
        <w:autoSpaceDN w:val="0"/>
        <w:adjustRightInd w:val="0"/>
        <w:snapToGrid w:val="0"/>
        <w:spacing w:before="25" w:after="25" w:line="360" w:lineRule="auto"/>
        <w:rPr>
          <w:color w:val="000000"/>
          <w:sz w:val="24"/>
          <w:lang w:val="zh-CN"/>
        </w:rPr>
      </w:pPr>
      <w:r>
        <w:rPr>
          <w:rFonts w:hint="eastAsia"/>
          <w:color w:val="000000"/>
          <w:sz w:val="24"/>
          <w:lang w:val="zh-CN"/>
        </w:rPr>
        <w:t>法定代表人或委托代理人（签字</w:t>
      </w:r>
      <w:r>
        <w:rPr>
          <w:rFonts w:hint="eastAsia"/>
          <w:color w:val="000000"/>
          <w:sz w:val="24"/>
          <w:lang w:val="en-US" w:eastAsia="zh-CN"/>
        </w:rPr>
        <w:t>或盖章</w:t>
      </w:r>
      <w:r>
        <w:rPr>
          <w:rFonts w:hint="eastAsia"/>
          <w:color w:val="000000"/>
          <w:sz w:val="24"/>
          <w:lang w:val="zh-CN"/>
        </w:rPr>
        <w:t>）：</w:t>
      </w:r>
      <w:r>
        <w:rPr>
          <w:color w:val="000000"/>
          <w:sz w:val="24"/>
          <w:lang w:val="zh-CN"/>
        </w:rPr>
        <w:t>____________</w:t>
      </w:r>
    </w:p>
    <w:p w14:paraId="58417D3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bookmarkEnd w:id="802"/>
    <w:bookmarkEnd w:id="803"/>
    <w:bookmarkEnd w:id="804"/>
    <w:bookmarkEnd w:id="805"/>
    <w:bookmarkEnd w:id="806"/>
    <w:bookmarkEnd w:id="807"/>
    <w:bookmarkEnd w:id="808"/>
    <w:bookmarkEnd w:id="809"/>
    <w:bookmarkEnd w:id="810"/>
    <w:bookmarkEnd w:id="811"/>
    <w:bookmarkEnd w:id="812"/>
    <w:bookmarkEnd w:id="813"/>
    <w:bookmarkEnd w:id="814"/>
    <w:p w14:paraId="556C56EE">
      <w:pPr>
        <w:spacing w:line="360" w:lineRule="auto"/>
        <w:outlineLvl w:val="2"/>
        <w:rPr>
          <w:color w:val="000000"/>
          <w:sz w:val="24"/>
          <w:szCs w:val="20"/>
        </w:rPr>
      </w:pPr>
      <w:r>
        <w:rPr>
          <w:color w:val="000000"/>
          <w:sz w:val="24"/>
          <w:szCs w:val="20"/>
        </w:rPr>
        <w:br w:type="page"/>
      </w:r>
      <w:r>
        <w:rPr>
          <w:rFonts w:hint="eastAsia"/>
          <w:color w:val="000000"/>
          <w:sz w:val="24"/>
          <w:szCs w:val="20"/>
        </w:rPr>
        <w:t>6</w:t>
      </w:r>
      <w:r>
        <w:rPr>
          <w:color w:val="000000"/>
          <w:sz w:val="24"/>
          <w:szCs w:val="20"/>
        </w:rPr>
        <w:t xml:space="preserve">  采购需求偏离表（实质性格式）</w:t>
      </w:r>
    </w:p>
    <w:p w14:paraId="0B6BA343">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E931492">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5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DD7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E12D0EF">
            <w:pPr>
              <w:adjustRightInd w:val="0"/>
              <w:snapToGrid w:val="0"/>
              <w:jc w:val="center"/>
              <w:rPr>
                <w:color w:val="000000"/>
                <w:sz w:val="24"/>
              </w:rPr>
            </w:pPr>
            <w:r>
              <w:rPr>
                <w:color w:val="000000"/>
                <w:sz w:val="24"/>
              </w:rPr>
              <w:t>序号</w:t>
            </w:r>
          </w:p>
        </w:tc>
        <w:tc>
          <w:tcPr>
            <w:tcW w:w="1482" w:type="dxa"/>
            <w:vAlign w:val="center"/>
          </w:tcPr>
          <w:p w14:paraId="4E8C644A">
            <w:pPr>
              <w:adjustRightInd w:val="0"/>
              <w:snapToGrid w:val="0"/>
              <w:jc w:val="center"/>
              <w:rPr>
                <w:color w:val="000000"/>
                <w:sz w:val="24"/>
              </w:rPr>
            </w:pPr>
            <w:r>
              <w:rPr>
                <w:rFonts w:hint="eastAsia"/>
                <w:color w:val="000000"/>
                <w:sz w:val="24"/>
              </w:rPr>
              <w:t>比选文件</w:t>
            </w:r>
            <w:r>
              <w:rPr>
                <w:color w:val="000000"/>
                <w:sz w:val="24"/>
              </w:rPr>
              <w:t>条目号(页码)</w:t>
            </w:r>
          </w:p>
        </w:tc>
        <w:tc>
          <w:tcPr>
            <w:tcW w:w="2384" w:type="dxa"/>
            <w:vAlign w:val="center"/>
          </w:tcPr>
          <w:p w14:paraId="49B32C8E">
            <w:pPr>
              <w:adjustRightInd w:val="0"/>
              <w:snapToGrid w:val="0"/>
              <w:jc w:val="center"/>
              <w:rPr>
                <w:color w:val="000000"/>
                <w:sz w:val="24"/>
              </w:rPr>
            </w:pPr>
            <w:r>
              <w:rPr>
                <w:rFonts w:hint="eastAsia"/>
                <w:color w:val="000000"/>
                <w:sz w:val="24"/>
              </w:rPr>
              <w:t>比选文件</w:t>
            </w:r>
            <w:r>
              <w:rPr>
                <w:color w:val="000000"/>
                <w:sz w:val="24"/>
              </w:rPr>
              <w:t>要求</w:t>
            </w:r>
          </w:p>
        </w:tc>
        <w:tc>
          <w:tcPr>
            <w:tcW w:w="2126" w:type="dxa"/>
            <w:vAlign w:val="center"/>
          </w:tcPr>
          <w:p w14:paraId="75662BC6">
            <w:pPr>
              <w:adjustRightInd w:val="0"/>
              <w:snapToGrid w:val="0"/>
              <w:jc w:val="center"/>
              <w:rPr>
                <w:color w:val="000000"/>
                <w:sz w:val="24"/>
              </w:rPr>
            </w:pPr>
            <w:r>
              <w:rPr>
                <w:color w:val="000000"/>
                <w:sz w:val="24"/>
              </w:rPr>
              <w:t>响应内容</w:t>
            </w:r>
          </w:p>
        </w:tc>
        <w:tc>
          <w:tcPr>
            <w:tcW w:w="1875" w:type="dxa"/>
            <w:vAlign w:val="center"/>
          </w:tcPr>
          <w:p w14:paraId="459D8463">
            <w:pPr>
              <w:adjustRightInd w:val="0"/>
              <w:snapToGrid w:val="0"/>
              <w:jc w:val="center"/>
              <w:rPr>
                <w:color w:val="000000"/>
                <w:sz w:val="24"/>
              </w:rPr>
            </w:pPr>
            <w:r>
              <w:rPr>
                <w:color w:val="000000"/>
                <w:sz w:val="24"/>
              </w:rPr>
              <w:t>偏离情况</w:t>
            </w:r>
          </w:p>
        </w:tc>
        <w:tc>
          <w:tcPr>
            <w:tcW w:w="1009" w:type="dxa"/>
            <w:vAlign w:val="center"/>
          </w:tcPr>
          <w:p w14:paraId="594EFB41">
            <w:pPr>
              <w:adjustRightInd w:val="0"/>
              <w:snapToGrid w:val="0"/>
              <w:jc w:val="center"/>
              <w:rPr>
                <w:color w:val="000000"/>
                <w:sz w:val="24"/>
              </w:rPr>
            </w:pPr>
            <w:r>
              <w:rPr>
                <w:color w:val="000000"/>
                <w:sz w:val="24"/>
              </w:rPr>
              <w:t>说明</w:t>
            </w:r>
          </w:p>
        </w:tc>
      </w:tr>
      <w:tr w14:paraId="6119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6DA703">
            <w:pPr>
              <w:adjustRightInd w:val="0"/>
              <w:snapToGrid w:val="0"/>
              <w:jc w:val="center"/>
              <w:rPr>
                <w:color w:val="000000"/>
                <w:sz w:val="24"/>
              </w:rPr>
            </w:pPr>
          </w:p>
        </w:tc>
        <w:tc>
          <w:tcPr>
            <w:tcW w:w="1482" w:type="dxa"/>
            <w:vAlign w:val="center"/>
          </w:tcPr>
          <w:p w14:paraId="37C5739A">
            <w:pPr>
              <w:adjustRightInd w:val="0"/>
              <w:snapToGrid w:val="0"/>
              <w:jc w:val="center"/>
              <w:rPr>
                <w:color w:val="000000"/>
                <w:sz w:val="24"/>
              </w:rPr>
            </w:pPr>
          </w:p>
        </w:tc>
        <w:tc>
          <w:tcPr>
            <w:tcW w:w="2384" w:type="dxa"/>
            <w:vAlign w:val="center"/>
          </w:tcPr>
          <w:p w14:paraId="61C5F978">
            <w:pPr>
              <w:adjustRightInd w:val="0"/>
              <w:snapToGrid w:val="0"/>
              <w:jc w:val="center"/>
              <w:rPr>
                <w:color w:val="000000"/>
                <w:sz w:val="24"/>
              </w:rPr>
            </w:pPr>
          </w:p>
        </w:tc>
        <w:tc>
          <w:tcPr>
            <w:tcW w:w="2126" w:type="dxa"/>
            <w:vAlign w:val="center"/>
          </w:tcPr>
          <w:p w14:paraId="17F996BC">
            <w:pPr>
              <w:adjustRightInd w:val="0"/>
              <w:snapToGrid w:val="0"/>
              <w:jc w:val="center"/>
              <w:rPr>
                <w:color w:val="000000"/>
                <w:sz w:val="24"/>
              </w:rPr>
            </w:pPr>
          </w:p>
        </w:tc>
        <w:tc>
          <w:tcPr>
            <w:tcW w:w="1875" w:type="dxa"/>
            <w:vAlign w:val="center"/>
          </w:tcPr>
          <w:p w14:paraId="1B732C1C">
            <w:pPr>
              <w:adjustRightInd w:val="0"/>
              <w:snapToGrid w:val="0"/>
              <w:jc w:val="center"/>
              <w:rPr>
                <w:color w:val="000000"/>
                <w:sz w:val="24"/>
              </w:rPr>
            </w:pPr>
          </w:p>
        </w:tc>
        <w:tc>
          <w:tcPr>
            <w:tcW w:w="1009" w:type="dxa"/>
            <w:vAlign w:val="center"/>
          </w:tcPr>
          <w:p w14:paraId="2F834429">
            <w:pPr>
              <w:adjustRightInd w:val="0"/>
              <w:snapToGrid w:val="0"/>
              <w:jc w:val="center"/>
              <w:rPr>
                <w:color w:val="000000"/>
                <w:sz w:val="24"/>
              </w:rPr>
            </w:pPr>
          </w:p>
        </w:tc>
      </w:tr>
      <w:tr w14:paraId="053E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75C574D">
            <w:pPr>
              <w:adjustRightInd w:val="0"/>
              <w:snapToGrid w:val="0"/>
              <w:jc w:val="center"/>
              <w:rPr>
                <w:color w:val="000000"/>
                <w:sz w:val="24"/>
              </w:rPr>
            </w:pPr>
          </w:p>
        </w:tc>
        <w:tc>
          <w:tcPr>
            <w:tcW w:w="1482" w:type="dxa"/>
            <w:vAlign w:val="center"/>
          </w:tcPr>
          <w:p w14:paraId="684C55A6">
            <w:pPr>
              <w:adjustRightInd w:val="0"/>
              <w:snapToGrid w:val="0"/>
              <w:jc w:val="center"/>
              <w:rPr>
                <w:color w:val="000000"/>
                <w:sz w:val="24"/>
              </w:rPr>
            </w:pPr>
          </w:p>
        </w:tc>
        <w:tc>
          <w:tcPr>
            <w:tcW w:w="2384" w:type="dxa"/>
            <w:vAlign w:val="center"/>
          </w:tcPr>
          <w:p w14:paraId="3ADE5F3A">
            <w:pPr>
              <w:adjustRightInd w:val="0"/>
              <w:snapToGrid w:val="0"/>
              <w:jc w:val="center"/>
              <w:rPr>
                <w:color w:val="000000"/>
                <w:sz w:val="24"/>
              </w:rPr>
            </w:pPr>
          </w:p>
        </w:tc>
        <w:tc>
          <w:tcPr>
            <w:tcW w:w="2126" w:type="dxa"/>
            <w:vAlign w:val="center"/>
          </w:tcPr>
          <w:p w14:paraId="618F507E">
            <w:pPr>
              <w:adjustRightInd w:val="0"/>
              <w:snapToGrid w:val="0"/>
              <w:jc w:val="center"/>
              <w:rPr>
                <w:color w:val="000000"/>
                <w:sz w:val="24"/>
              </w:rPr>
            </w:pPr>
          </w:p>
        </w:tc>
        <w:tc>
          <w:tcPr>
            <w:tcW w:w="1875" w:type="dxa"/>
            <w:vAlign w:val="center"/>
          </w:tcPr>
          <w:p w14:paraId="675A2D12">
            <w:pPr>
              <w:adjustRightInd w:val="0"/>
              <w:snapToGrid w:val="0"/>
              <w:jc w:val="center"/>
              <w:rPr>
                <w:color w:val="000000"/>
                <w:sz w:val="24"/>
              </w:rPr>
            </w:pPr>
          </w:p>
        </w:tc>
        <w:tc>
          <w:tcPr>
            <w:tcW w:w="1009" w:type="dxa"/>
            <w:vAlign w:val="center"/>
          </w:tcPr>
          <w:p w14:paraId="08D9402D">
            <w:pPr>
              <w:adjustRightInd w:val="0"/>
              <w:snapToGrid w:val="0"/>
              <w:jc w:val="center"/>
              <w:rPr>
                <w:color w:val="000000"/>
                <w:sz w:val="24"/>
              </w:rPr>
            </w:pPr>
          </w:p>
        </w:tc>
      </w:tr>
      <w:tr w14:paraId="775B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8DCB99E">
            <w:pPr>
              <w:adjustRightInd w:val="0"/>
              <w:snapToGrid w:val="0"/>
              <w:jc w:val="center"/>
              <w:rPr>
                <w:color w:val="000000"/>
                <w:sz w:val="24"/>
              </w:rPr>
            </w:pPr>
          </w:p>
        </w:tc>
        <w:tc>
          <w:tcPr>
            <w:tcW w:w="1482" w:type="dxa"/>
            <w:vAlign w:val="center"/>
          </w:tcPr>
          <w:p w14:paraId="1DA6D15A">
            <w:pPr>
              <w:adjustRightInd w:val="0"/>
              <w:snapToGrid w:val="0"/>
              <w:jc w:val="center"/>
              <w:rPr>
                <w:color w:val="000000"/>
                <w:sz w:val="24"/>
              </w:rPr>
            </w:pPr>
          </w:p>
        </w:tc>
        <w:tc>
          <w:tcPr>
            <w:tcW w:w="2384" w:type="dxa"/>
            <w:vAlign w:val="center"/>
          </w:tcPr>
          <w:p w14:paraId="1C61C1FC">
            <w:pPr>
              <w:adjustRightInd w:val="0"/>
              <w:snapToGrid w:val="0"/>
              <w:jc w:val="center"/>
              <w:rPr>
                <w:color w:val="000000"/>
                <w:sz w:val="24"/>
              </w:rPr>
            </w:pPr>
          </w:p>
        </w:tc>
        <w:tc>
          <w:tcPr>
            <w:tcW w:w="2126" w:type="dxa"/>
            <w:vAlign w:val="center"/>
          </w:tcPr>
          <w:p w14:paraId="326E9564">
            <w:pPr>
              <w:adjustRightInd w:val="0"/>
              <w:snapToGrid w:val="0"/>
              <w:jc w:val="center"/>
              <w:rPr>
                <w:color w:val="000000"/>
                <w:sz w:val="24"/>
              </w:rPr>
            </w:pPr>
          </w:p>
        </w:tc>
        <w:tc>
          <w:tcPr>
            <w:tcW w:w="1875" w:type="dxa"/>
            <w:vAlign w:val="center"/>
          </w:tcPr>
          <w:p w14:paraId="12EF6CF0">
            <w:pPr>
              <w:adjustRightInd w:val="0"/>
              <w:snapToGrid w:val="0"/>
              <w:jc w:val="center"/>
              <w:rPr>
                <w:color w:val="000000"/>
                <w:sz w:val="24"/>
              </w:rPr>
            </w:pPr>
          </w:p>
        </w:tc>
        <w:tc>
          <w:tcPr>
            <w:tcW w:w="1009" w:type="dxa"/>
            <w:vAlign w:val="center"/>
          </w:tcPr>
          <w:p w14:paraId="00082686">
            <w:pPr>
              <w:adjustRightInd w:val="0"/>
              <w:snapToGrid w:val="0"/>
              <w:jc w:val="center"/>
              <w:rPr>
                <w:color w:val="000000"/>
                <w:sz w:val="24"/>
              </w:rPr>
            </w:pPr>
          </w:p>
        </w:tc>
      </w:tr>
      <w:tr w14:paraId="7CB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45483D">
            <w:pPr>
              <w:adjustRightInd w:val="0"/>
              <w:snapToGrid w:val="0"/>
              <w:jc w:val="center"/>
              <w:rPr>
                <w:color w:val="000000"/>
                <w:sz w:val="24"/>
              </w:rPr>
            </w:pPr>
          </w:p>
        </w:tc>
        <w:tc>
          <w:tcPr>
            <w:tcW w:w="1482" w:type="dxa"/>
            <w:vAlign w:val="center"/>
          </w:tcPr>
          <w:p w14:paraId="0A22957A">
            <w:pPr>
              <w:adjustRightInd w:val="0"/>
              <w:snapToGrid w:val="0"/>
              <w:jc w:val="center"/>
              <w:rPr>
                <w:color w:val="000000"/>
                <w:sz w:val="24"/>
              </w:rPr>
            </w:pPr>
          </w:p>
        </w:tc>
        <w:tc>
          <w:tcPr>
            <w:tcW w:w="2384" w:type="dxa"/>
            <w:vAlign w:val="center"/>
          </w:tcPr>
          <w:p w14:paraId="69754D02">
            <w:pPr>
              <w:adjustRightInd w:val="0"/>
              <w:snapToGrid w:val="0"/>
              <w:jc w:val="center"/>
              <w:rPr>
                <w:color w:val="000000"/>
                <w:sz w:val="24"/>
              </w:rPr>
            </w:pPr>
          </w:p>
        </w:tc>
        <w:tc>
          <w:tcPr>
            <w:tcW w:w="2126" w:type="dxa"/>
            <w:vAlign w:val="center"/>
          </w:tcPr>
          <w:p w14:paraId="5153AF35">
            <w:pPr>
              <w:adjustRightInd w:val="0"/>
              <w:snapToGrid w:val="0"/>
              <w:jc w:val="center"/>
              <w:rPr>
                <w:color w:val="000000"/>
                <w:sz w:val="24"/>
              </w:rPr>
            </w:pPr>
          </w:p>
        </w:tc>
        <w:tc>
          <w:tcPr>
            <w:tcW w:w="1875" w:type="dxa"/>
            <w:vAlign w:val="center"/>
          </w:tcPr>
          <w:p w14:paraId="63B1D4AD">
            <w:pPr>
              <w:adjustRightInd w:val="0"/>
              <w:snapToGrid w:val="0"/>
              <w:jc w:val="center"/>
              <w:rPr>
                <w:color w:val="000000"/>
                <w:sz w:val="24"/>
              </w:rPr>
            </w:pPr>
          </w:p>
        </w:tc>
        <w:tc>
          <w:tcPr>
            <w:tcW w:w="1009" w:type="dxa"/>
            <w:vAlign w:val="center"/>
          </w:tcPr>
          <w:p w14:paraId="2A5C780E">
            <w:pPr>
              <w:adjustRightInd w:val="0"/>
              <w:snapToGrid w:val="0"/>
              <w:jc w:val="center"/>
              <w:rPr>
                <w:color w:val="000000"/>
                <w:sz w:val="24"/>
              </w:rPr>
            </w:pPr>
          </w:p>
        </w:tc>
      </w:tr>
      <w:tr w14:paraId="086F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92AD69">
            <w:pPr>
              <w:adjustRightInd w:val="0"/>
              <w:snapToGrid w:val="0"/>
              <w:jc w:val="center"/>
              <w:rPr>
                <w:color w:val="000000"/>
                <w:sz w:val="24"/>
              </w:rPr>
            </w:pPr>
          </w:p>
        </w:tc>
        <w:tc>
          <w:tcPr>
            <w:tcW w:w="1482" w:type="dxa"/>
            <w:vAlign w:val="center"/>
          </w:tcPr>
          <w:p w14:paraId="283BE976">
            <w:pPr>
              <w:adjustRightInd w:val="0"/>
              <w:snapToGrid w:val="0"/>
              <w:jc w:val="center"/>
              <w:rPr>
                <w:color w:val="000000"/>
                <w:sz w:val="24"/>
              </w:rPr>
            </w:pPr>
          </w:p>
        </w:tc>
        <w:tc>
          <w:tcPr>
            <w:tcW w:w="2384" w:type="dxa"/>
            <w:vAlign w:val="center"/>
          </w:tcPr>
          <w:p w14:paraId="3328CEFB">
            <w:pPr>
              <w:adjustRightInd w:val="0"/>
              <w:snapToGrid w:val="0"/>
              <w:jc w:val="center"/>
              <w:rPr>
                <w:color w:val="000000"/>
                <w:sz w:val="24"/>
              </w:rPr>
            </w:pPr>
          </w:p>
        </w:tc>
        <w:tc>
          <w:tcPr>
            <w:tcW w:w="2126" w:type="dxa"/>
            <w:vAlign w:val="center"/>
          </w:tcPr>
          <w:p w14:paraId="62FA23B3">
            <w:pPr>
              <w:adjustRightInd w:val="0"/>
              <w:snapToGrid w:val="0"/>
              <w:jc w:val="center"/>
              <w:rPr>
                <w:color w:val="000000"/>
                <w:sz w:val="24"/>
              </w:rPr>
            </w:pPr>
          </w:p>
        </w:tc>
        <w:tc>
          <w:tcPr>
            <w:tcW w:w="1875" w:type="dxa"/>
            <w:vAlign w:val="center"/>
          </w:tcPr>
          <w:p w14:paraId="16EB1B78">
            <w:pPr>
              <w:adjustRightInd w:val="0"/>
              <w:snapToGrid w:val="0"/>
              <w:jc w:val="center"/>
              <w:rPr>
                <w:color w:val="000000"/>
                <w:sz w:val="24"/>
              </w:rPr>
            </w:pPr>
          </w:p>
        </w:tc>
        <w:tc>
          <w:tcPr>
            <w:tcW w:w="1009" w:type="dxa"/>
            <w:vAlign w:val="center"/>
          </w:tcPr>
          <w:p w14:paraId="2678358F">
            <w:pPr>
              <w:adjustRightInd w:val="0"/>
              <w:snapToGrid w:val="0"/>
              <w:jc w:val="center"/>
              <w:rPr>
                <w:color w:val="000000"/>
                <w:sz w:val="24"/>
              </w:rPr>
            </w:pPr>
          </w:p>
        </w:tc>
      </w:tr>
      <w:tr w14:paraId="779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73F010">
            <w:pPr>
              <w:adjustRightInd w:val="0"/>
              <w:snapToGrid w:val="0"/>
              <w:jc w:val="center"/>
              <w:rPr>
                <w:color w:val="000000"/>
                <w:sz w:val="24"/>
              </w:rPr>
            </w:pPr>
          </w:p>
        </w:tc>
        <w:tc>
          <w:tcPr>
            <w:tcW w:w="1482" w:type="dxa"/>
            <w:vAlign w:val="center"/>
          </w:tcPr>
          <w:p w14:paraId="07404E5D">
            <w:pPr>
              <w:adjustRightInd w:val="0"/>
              <w:snapToGrid w:val="0"/>
              <w:jc w:val="center"/>
              <w:rPr>
                <w:color w:val="000000"/>
                <w:sz w:val="24"/>
              </w:rPr>
            </w:pPr>
          </w:p>
        </w:tc>
        <w:tc>
          <w:tcPr>
            <w:tcW w:w="2384" w:type="dxa"/>
            <w:vAlign w:val="center"/>
          </w:tcPr>
          <w:p w14:paraId="1C3601A0">
            <w:pPr>
              <w:adjustRightInd w:val="0"/>
              <w:snapToGrid w:val="0"/>
              <w:jc w:val="center"/>
              <w:rPr>
                <w:color w:val="000000"/>
                <w:sz w:val="24"/>
              </w:rPr>
            </w:pPr>
          </w:p>
        </w:tc>
        <w:tc>
          <w:tcPr>
            <w:tcW w:w="2126" w:type="dxa"/>
            <w:vAlign w:val="center"/>
          </w:tcPr>
          <w:p w14:paraId="7C260FCD">
            <w:pPr>
              <w:adjustRightInd w:val="0"/>
              <w:snapToGrid w:val="0"/>
              <w:jc w:val="center"/>
              <w:rPr>
                <w:color w:val="000000"/>
                <w:sz w:val="24"/>
              </w:rPr>
            </w:pPr>
          </w:p>
        </w:tc>
        <w:tc>
          <w:tcPr>
            <w:tcW w:w="1875" w:type="dxa"/>
            <w:vAlign w:val="center"/>
          </w:tcPr>
          <w:p w14:paraId="59F93D0D">
            <w:pPr>
              <w:adjustRightInd w:val="0"/>
              <w:snapToGrid w:val="0"/>
              <w:jc w:val="center"/>
              <w:rPr>
                <w:color w:val="000000"/>
                <w:sz w:val="24"/>
              </w:rPr>
            </w:pPr>
          </w:p>
        </w:tc>
        <w:tc>
          <w:tcPr>
            <w:tcW w:w="1009" w:type="dxa"/>
            <w:vAlign w:val="center"/>
          </w:tcPr>
          <w:p w14:paraId="075AAF88">
            <w:pPr>
              <w:adjustRightInd w:val="0"/>
              <w:snapToGrid w:val="0"/>
              <w:jc w:val="center"/>
              <w:rPr>
                <w:color w:val="000000"/>
                <w:sz w:val="24"/>
              </w:rPr>
            </w:pPr>
          </w:p>
        </w:tc>
      </w:tr>
    </w:tbl>
    <w:p w14:paraId="1A3537C2">
      <w:pPr>
        <w:tabs>
          <w:tab w:val="left" w:pos="1800"/>
          <w:tab w:val="left" w:pos="5580"/>
        </w:tabs>
        <w:spacing w:line="360" w:lineRule="auto"/>
        <w:ind w:firstLine="360" w:firstLineChars="150"/>
        <w:jc w:val="left"/>
        <w:rPr>
          <w:color w:val="000000"/>
          <w:sz w:val="24"/>
          <w:u w:val="single"/>
        </w:rPr>
      </w:pPr>
    </w:p>
    <w:p w14:paraId="79E4A549">
      <w:pPr>
        <w:tabs>
          <w:tab w:val="left" w:pos="1800"/>
          <w:tab w:val="left" w:pos="5580"/>
        </w:tabs>
        <w:jc w:val="left"/>
        <w:rPr>
          <w:color w:val="000000"/>
          <w:sz w:val="24"/>
        </w:rPr>
      </w:pPr>
      <w:r>
        <w:rPr>
          <w:color w:val="000000"/>
          <w:sz w:val="24"/>
        </w:rPr>
        <w:t>注：</w:t>
      </w:r>
    </w:p>
    <w:p w14:paraId="0518F527">
      <w:pPr>
        <w:tabs>
          <w:tab w:val="left" w:pos="1800"/>
          <w:tab w:val="left" w:pos="5580"/>
        </w:tabs>
        <w:jc w:val="left"/>
        <w:rPr>
          <w:sz w:val="24"/>
        </w:rPr>
      </w:pPr>
      <w:r>
        <w:rPr>
          <w:rFonts w:hint="eastAsia"/>
          <w:color w:val="000000"/>
          <w:sz w:val="24"/>
        </w:rPr>
        <w:t>1</w:t>
      </w:r>
      <w:r>
        <w:rPr>
          <w:color w:val="000000"/>
          <w:sz w:val="24"/>
        </w:rPr>
        <w:t xml:space="preserve">. </w:t>
      </w:r>
      <w:r>
        <w:rPr>
          <w:sz w:val="24"/>
        </w:rPr>
        <w:t>对</w:t>
      </w:r>
      <w:r>
        <w:rPr>
          <w:rFonts w:hint="eastAsia"/>
          <w:sz w:val="24"/>
        </w:rPr>
        <w:t>比选文件</w:t>
      </w:r>
      <w:r>
        <w:rPr>
          <w:sz w:val="24"/>
        </w:rPr>
        <w:t>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3E49ECE0">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填写“正偏离”、“负偏离”或“无偏离”。</w:t>
      </w:r>
    </w:p>
    <w:p w14:paraId="5AB14197">
      <w:pPr>
        <w:tabs>
          <w:tab w:val="left" w:pos="1800"/>
          <w:tab w:val="left" w:pos="5580"/>
        </w:tabs>
        <w:jc w:val="left"/>
        <w:rPr>
          <w:sz w:val="24"/>
        </w:rPr>
      </w:pPr>
    </w:p>
    <w:p w14:paraId="6B525138">
      <w:pPr>
        <w:tabs>
          <w:tab w:val="left" w:pos="1800"/>
          <w:tab w:val="left" w:pos="5580"/>
        </w:tabs>
        <w:jc w:val="left"/>
        <w:rPr>
          <w:color w:val="000000"/>
          <w:sz w:val="24"/>
        </w:rPr>
      </w:pPr>
    </w:p>
    <w:p w14:paraId="71F449C6">
      <w:pPr>
        <w:rPr>
          <w:color w:val="000000"/>
          <w:sz w:val="24"/>
          <w:szCs w:val="20"/>
        </w:rPr>
      </w:pPr>
    </w:p>
    <w:p w14:paraId="2CDAC87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96A27FA">
      <w:pPr>
        <w:autoSpaceDE w:val="0"/>
        <w:autoSpaceDN w:val="0"/>
        <w:adjustRightInd w:val="0"/>
        <w:snapToGrid w:val="0"/>
        <w:spacing w:before="25" w:after="25" w:line="360" w:lineRule="auto"/>
        <w:rPr>
          <w:color w:val="000000"/>
          <w:sz w:val="24"/>
          <w:u w:val="single"/>
        </w:rPr>
      </w:pPr>
      <w:r>
        <w:rPr>
          <w:rFonts w:hint="eastAsia"/>
          <w:color w:val="000000"/>
          <w:sz w:val="24"/>
        </w:rPr>
        <w:t>参选人</w:t>
      </w:r>
      <w:r>
        <w:rPr>
          <w:color w:val="000000"/>
          <w:sz w:val="24"/>
        </w:rPr>
        <w:t>名称（加盖公章）</w:t>
      </w:r>
      <w:r>
        <w:rPr>
          <w:color w:val="000000"/>
          <w:sz w:val="24"/>
          <w:lang w:val="zh-CN"/>
        </w:rPr>
        <w:t>：</w:t>
      </w:r>
      <w:r>
        <w:rPr>
          <w:rFonts w:hint="eastAsia"/>
          <w:color w:val="000000"/>
          <w:sz w:val="24"/>
          <w:u w:val="single"/>
        </w:rPr>
        <w:t xml:space="preserve">                    </w:t>
      </w:r>
    </w:p>
    <w:p w14:paraId="654B3FD0">
      <w:pPr>
        <w:autoSpaceDE w:val="0"/>
        <w:autoSpaceDN w:val="0"/>
        <w:adjustRightInd w:val="0"/>
        <w:snapToGrid w:val="0"/>
        <w:spacing w:before="25" w:after="25" w:line="360" w:lineRule="auto"/>
        <w:rPr>
          <w:color w:val="000000"/>
          <w:sz w:val="24"/>
          <w:lang w:val="zh-CN"/>
        </w:rPr>
      </w:pPr>
      <w:r>
        <w:rPr>
          <w:rFonts w:hint="eastAsia"/>
          <w:color w:val="000000"/>
          <w:sz w:val="24"/>
          <w:lang w:val="zh-CN"/>
        </w:rPr>
        <w:t>法定代表人或委托代理人（签字</w:t>
      </w:r>
      <w:r>
        <w:rPr>
          <w:rFonts w:hint="eastAsia"/>
          <w:color w:val="000000"/>
          <w:sz w:val="24"/>
          <w:lang w:val="en-US" w:eastAsia="zh-CN"/>
        </w:rPr>
        <w:t>或盖章</w:t>
      </w:r>
      <w:r>
        <w:rPr>
          <w:rFonts w:hint="eastAsia"/>
          <w:color w:val="000000"/>
          <w:sz w:val="24"/>
          <w:lang w:val="zh-CN"/>
        </w:rPr>
        <w:t>）：</w:t>
      </w:r>
      <w:r>
        <w:rPr>
          <w:color w:val="000000"/>
          <w:sz w:val="24"/>
          <w:lang w:val="zh-CN"/>
        </w:rPr>
        <w:t>____________</w:t>
      </w:r>
    </w:p>
    <w:p w14:paraId="4E288D6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D3DC9DE">
      <w:pPr>
        <w:autoSpaceDE w:val="0"/>
        <w:autoSpaceDN w:val="0"/>
        <w:adjustRightInd w:val="0"/>
        <w:snapToGrid w:val="0"/>
        <w:spacing w:before="25" w:after="25" w:line="360" w:lineRule="auto"/>
        <w:rPr>
          <w:color w:val="000000"/>
          <w:sz w:val="24"/>
          <w:lang w:val="zh-CN"/>
        </w:rPr>
      </w:pPr>
      <w:r>
        <w:rPr>
          <w:color w:val="000000"/>
          <w:sz w:val="24"/>
          <w:lang w:val="zh-CN"/>
        </w:rPr>
        <w:br w:type="page"/>
      </w:r>
    </w:p>
    <w:p w14:paraId="0866E725">
      <w:pPr>
        <w:spacing w:line="360" w:lineRule="auto"/>
        <w:outlineLvl w:val="2"/>
        <w:rPr>
          <w:color w:val="000000"/>
          <w:sz w:val="24"/>
          <w:szCs w:val="20"/>
        </w:rPr>
      </w:pPr>
      <w:r>
        <w:rPr>
          <w:rFonts w:hint="eastAsia" w:ascii="宋体" w:hAnsi="宋体"/>
          <w:color w:val="000000"/>
          <w:sz w:val="24"/>
        </w:rPr>
        <w:t>7</w:t>
      </w:r>
      <w:r>
        <w:rPr>
          <w:rFonts w:hint="eastAsia"/>
          <w:color w:val="000000"/>
          <w:sz w:val="24"/>
          <w:szCs w:val="20"/>
        </w:rPr>
        <w:t>比选文件</w:t>
      </w:r>
      <w:r>
        <w:rPr>
          <w:color w:val="000000"/>
          <w:sz w:val="24"/>
          <w:szCs w:val="20"/>
        </w:rPr>
        <w:t>要求提供或</w:t>
      </w:r>
      <w:r>
        <w:rPr>
          <w:rFonts w:hint="eastAsia"/>
          <w:color w:val="000000"/>
          <w:sz w:val="24"/>
          <w:szCs w:val="20"/>
        </w:rPr>
        <w:t>参选人</w:t>
      </w:r>
      <w:r>
        <w:rPr>
          <w:color w:val="000000"/>
          <w:sz w:val="24"/>
          <w:szCs w:val="20"/>
        </w:rPr>
        <w:t>认为应附的其他材料</w:t>
      </w:r>
    </w:p>
    <w:p w14:paraId="48B42F55">
      <w:pPr>
        <w:widowControl/>
        <w:jc w:val="left"/>
        <w:rPr>
          <w:b/>
          <w:sz w:val="36"/>
          <w:szCs w:val="36"/>
        </w:rPr>
      </w:pPr>
    </w:p>
    <w:p w14:paraId="0A437670">
      <w:pPr>
        <w:jc w:val="center"/>
        <w:rPr>
          <w:i/>
          <w:iCs/>
          <w:sz w:val="24"/>
        </w:rPr>
      </w:pPr>
      <w:r>
        <w:rPr>
          <w:rFonts w:hint="eastAsia"/>
          <w:i/>
          <w:iCs/>
          <w:sz w:val="24"/>
        </w:rPr>
        <w:t>（格式自拟）</w:t>
      </w:r>
    </w:p>
    <w:p w14:paraId="740B7E00"/>
    <w:sectPr>
      <w:headerReference r:id="rId20" w:type="first"/>
      <w:footerReference r:id="rId22" w:type="first"/>
      <w:headerReference r:id="rId19" w:type="even"/>
      <w:footerReference r:id="rId21" w:type="even"/>
      <w:type w:val="nextColumn"/>
      <w:pgSz w:w="11907" w:h="16840"/>
      <w:pgMar w:top="1134" w:right="1418" w:bottom="1134" w:left="1418" w:header="510" w:footer="851"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0" w:usb3="00000000" w:csb0="0000019F" w:csb1="00000000"/>
  </w:font>
  <w:font w:name="五">
    <w:altName w:val="黑体"/>
    <w:panose1 w:val="00000000000000000000"/>
    <w:charset w:val="86"/>
    <w:family w:val="auto"/>
    <w:pitch w:val="default"/>
    <w:sig w:usb0="00000000" w:usb1="00000000" w:usb2="00000010" w:usb3="00000000" w:csb0="00040000" w:csb1="00000000"/>
  </w:font>
  <w:font w:name="FontAwesome">
    <w:altName w:val="Times New Roman"/>
    <w:panose1 w:val="00000000000000000000"/>
    <w:charset w:val="00"/>
    <w:family w:val="auto"/>
    <w:pitch w:val="default"/>
    <w:sig w:usb0="00000000" w:usb1="00000000" w:usb2="00000000" w:usb3="00000000" w:csb0="00000000" w:csb1="00000000"/>
  </w:font>
  <w:font w:name="DengXian (正文)">
    <w:altName w:val="等线"/>
    <w:panose1 w:val="00000000000000000000"/>
    <w:charset w:val="86"/>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6E35">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8CF1">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17183">
                          <w:pPr>
                            <w:pStyle w:val="3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517183">
                    <w:pPr>
                      <w:pStyle w:val="3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E982">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14:paraId="694E59C0">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C260">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815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C5867">
                          <w:pPr>
                            <w:pStyle w:val="3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7C5867">
                    <w:pPr>
                      <w:pStyle w:val="3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259">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14:paraId="78E22852">
    <w:pPr>
      <w:pStyle w:val="32"/>
      <w:ind w:right="360"/>
    </w:pPr>
  </w:p>
  <w:p w14:paraId="5B197EA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6B2B">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C8D8">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14:paraId="0245758B">
    <w:pPr>
      <w:pStyle w:val="32"/>
      <w:ind w:right="360"/>
    </w:pPr>
  </w:p>
  <w:p w14:paraId="0428A9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7F32">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2B5D">
    <w:pPr>
      <w:pStyle w:val="33"/>
      <w:tabs>
        <w:tab w:val="right" w:pos="9639"/>
        <w:tab w:val="clear" w:pos="4153"/>
        <w:tab w:val="clear" w:pos="8306"/>
      </w:tabs>
      <w:jc w:val="both"/>
      <w:rPr>
        <w:rFonts w:hint="eastAsia" w:eastAsia="宋体"/>
        <w:lang w:eastAsia="zh-CN"/>
      </w:rPr>
    </w:pPr>
    <w:r>
      <w:rPr>
        <w:rFonts w:hint="eastAsia"/>
      </w:rPr>
      <w:t>比选文件</w:t>
    </w:r>
    <w:r>
      <w:t xml:space="preserve">          </w:t>
    </w:r>
    <w:r>
      <w:rPr>
        <w:rFonts w:hint="eastAsia"/>
      </w:rPr>
      <w:t xml:space="preserve">                                       </w:t>
    </w:r>
    <w:r>
      <w:rPr>
        <w:rFonts w:hint="eastAsia"/>
        <w:lang w:val="en-US" w:eastAsia="zh-CN"/>
      </w:rPr>
      <w:t xml:space="preserve">         </w:t>
    </w:r>
    <w:r>
      <w:rPr>
        <w:rFonts w:hint="eastAsia"/>
        <w:lang w:eastAsia="zh-CN"/>
      </w:rPr>
      <w:t>2025年环卫中心基建维修项目结算审计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4EC8">
    <w:pPr>
      <w:pStyle w:val="33"/>
      <w:jc w:val="right"/>
    </w:pPr>
    <w:r>
      <w:rPr>
        <w:rFonts w:hint="eastAsia"/>
      </w:rPr>
      <w:t>北京市政府</w:t>
    </w:r>
    <w:r>
      <w:t>采购</w:t>
    </w:r>
    <w:r>
      <w:rPr>
        <w:rFonts w:hint="eastAsia"/>
      </w:rPr>
      <w:t>项目公开比选文件示范文本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9D5E">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074D">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BCA6">
    <w:pPr>
      <w:pStyle w:val="33"/>
      <w:tabs>
        <w:tab w:val="right" w:pos="9639"/>
        <w:tab w:val="clear" w:pos="4153"/>
        <w:tab w:val="clear" w:pos="8306"/>
      </w:tabs>
      <w:jc w:val="both"/>
      <w:rPr>
        <w:rFonts w:hint="eastAsia" w:eastAsia="宋体"/>
        <w:b/>
        <w:lang w:eastAsia="zh-CN"/>
      </w:rPr>
    </w:pPr>
    <w:r>
      <w:rPr>
        <w:rFonts w:hint="eastAsia"/>
      </w:rPr>
      <w:t>比选文件</w:t>
    </w:r>
    <w:r>
      <w:t xml:space="preserve">          </w:t>
    </w:r>
    <w:r>
      <w:rPr>
        <w:rFonts w:hint="eastAsia"/>
      </w:rPr>
      <w:t xml:space="preserve">                                      </w:t>
    </w:r>
    <w:r>
      <w:rPr>
        <w:rFonts w:hint="eastAsia"/>
        <w:lang w:val="en-US" w:eastAsia="zh-CN"/>
      </w:rPr>
      <w:t xml:space="preserve">   </w:t>
    </w:r>
    <w:r>
      <w:rPr>
        <w:rFonts w:hint="eastAsia"/>
      </w:rPr>
      <w:t xml:space="preserve"> 2025年环卫中心技术设施科维修项目结算审计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23E1">
    <w:pPr>
      <w:pStyle w:val="33"/>
    </w:pPr>
  </w:p>
  <w:p w14:paraId="2F800B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95AF">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5298">
    <w:pPr>
      <w:pStyle w:val="33"/>
    </w:pPr>
  </w:p>
  <w:p w14:paraId="424FAFE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24C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AFE31"/>
    <w:multiLevelType w:val="singleLevel"/>
    <w:tmpl w:val="B47AFE31"/>
    <w:lvl w:ilvl="0" w:tentative="0">
      <w:start w:val="2"/>
      <w:numFmt w:val="chineseCounting"/>
      <w:suff w:val="nothing"/>
      <w:lvlText w:val="%1、"/>
      <w:lvlJc w:val="left"/>
      <w:rPr>
        <w:rFonts w:hint="eastAsia"/>
      </w:rPr>
    </w:lvl>
  </w:abstractNum>
  <w:abstractNum w:abstractNumId="1">
    <w:nsid w:val="FFFFFF7D"/>
    <w:multiLevelType w:val="singleLevel"/>
    <w:tmpl w:val="FFFFFF7D"/>
    <w:lvl w:ilvl="0" w:tentative="0">
      <w:start w:val="1"/>
      <w:numFmt w:val="decimal"/>
      <w:pStyle w:val="27"/>
      <w:lvlText w:val="%1."/>
      <w:lvlJc w:val="left"/>
      <w:pPr>
        <w:tabs>
          <w:tab w:val="left" w:pos="1620"/>
        </w:tabs>
        <w:ind w:left="1620" w:leftChars="600" w:hanging="360" w:hangingChars="200"/>
      </w:pPr>
    </w:lvl>
  </w:abstractNum>
  <w:abstractNum w:abstractNumId="2">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2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0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73"/>
      <w:lvlText w:val="%1."/>
      <w:lvlJc w:val="left"/>
      <w:pPr>
        <w:tabs>
          <w:tab w:val="left" w:pos="360"/>
        </w:tabs>
        <w:ind w:left="360" w:hanging="360"/>
      </w:pPr>
      <w:rPr>
        <w:rFonts w:hint="default"/>
      </w:rPr>
    </w:lvl>
  </w:abstractNum>
  <w:abstractNum w:abstractNumId="7">
    <w:nsid w:val="00000019"/>
    <w:multiLevelType w:val="singleLevel"/>
    <w:tmpl w:val="00000019"/>
    <w:lvl w:ilvl="0" w:tentative="0">
      <w:start w:val="1"/>
      <w:numFmt w:val="decimal"/>
      <w:pStyle w:val="530"/>
      <w:lvlText w:val="%1、"/>
      <w:lvlJc w:val="left"/>
      <w:pPr>
        <w:tabs>
          <w:tab w:val="left" w:pos="315"/>
        </w:tabs>
        <w:ind w:left="315" w:hanging="315"/>
      </w:pPr>
      <w:rPr>
        <w:rFonts w:hint="eastAsia"/>
      </w:rPr>
    </w:lvl>
  </w:abstractNum>
  <w:abstractNum w:abstractNumId="8">
    <w:nsid w:val="00000026"/>
    <w:multiLevelType w:val="multilevel"/>
    <w:tmpl w:val="00000026"/>
    <w:lvl w:ilvl="0" w:tentative="0">
      <w:start w:val="1"/>
      <w:numFmt w:val="decimal"/>
      <w:pStyle w:val="12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2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5357E8B"/>
    <w:multiLevelType w:val="multilevel"/>
    <w:tmpl w:val="05357E8B"/>
    <w:lvl w:ilvl="0" w:tentative="0">
      <w:start w:val="1"/>
      <w:numFmt w:val="bullet"/>
      <w:pStyle w:val="347"/>
      <w:lvlText w:val=""/>
      <w:lvlJc w:val="left"/>
      <w:pPr>
        <w:ind w:left="420" w:hanging="420"/>
      </w:pPr>
      <w:rPr>
        <w:rFonts w:hint="default" w:ascii="Wingdings" w:hAnsi="Wingdings"/>
      </w:rPr>
    </w:lvl>
    <w:lvl w:ilvl="1" w:tentative="0">
      <w:start w:val="1"/>
      <w:numFmt w:val="bullet"/>
      <w:pStyle w:val="346"/>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E230849"/>
    <w:multiLevelType w:val="multilevel"/>
    <w:tmpl w:val="0E230849"/>
    <w:lvl w:ilvl="0" w:tentative="0">
      <w:start w:val="1"/>
      <w:numFmt w:val="decimal"/>
      <w:pStyle w:val="228"/>
      <w:lvlText w:val="%1"/>
      <w:lvlJc w:val="left"/>
      <w:pPr>
        <w:ind w:left="680" w:hanging="680"/>
      </w:pPr>
      <w:rPr>
        <w:rFonts w:hint="eastAsia" w:ascii="宋体" w:hAnsi="宋体" w:eastAsia="宋体"/>
      </w:rPr>
    </w:lvl>
    <w:lvl w:ilvl="1" w:tentative="0">
      <w:start w:val="1"/>
      <w:numFmt w:val="decimal"/>
      <w:pStyle w:val="229"/>
      <w:lvlText w:val="%1.%2"/>
      <w:lvlJc w:val="left"/>
      <w:pPr>
        <w:ind w:left="851" w:hanging="851"/>
      </w:pPr>
      <w:rPr>
        <w:rFonts w:hint="eastAsia" w:ascii="宋体" w:hAnsi="宋体" w:eastAsia="宋体"/>
        <w:color w:val="auto"/>
      </w:rPr>
    </w:lvl>
    <w:lvl w:ilvl="2" w:tentative="0">
      <w:start w:val="1"/>
      <w:numFmt w:val="decimal"/>
      <w:pStyle w:val="23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20C153B"/>
    <w:multiLevelType w:val="multilevel"/>
    <w:tmpl w:val="420C153B"/>
    <w:lvl w:ilvl="0" w:tentative="0">
      <w:start w:val="1"/>
      <w:numFmt w:val="decimal"/>
      <w:pStyle w:val="332"/>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51054AB4"/>
    <w:multiLevelType w:val="singleLevel"/>
    <w:tmpl w:val="51054AB4"/>
    <w:lvl w:ilvl="0" w:tentative="0">
      <w:start w:val="1"/>
      <w:numFmt w:val="chineseCounting"/>
      <w:suff w:val="nothing"/>
      <w:lvlText w:val="%1、"/>
      <w:lvlJc w:val="left"/>
      <w:rPr>
        <w:rFonts w:hint="eastAsia"/>
      </w:rPr>
    </w:lvl>
  </w:abstractNum>
  <w:abstractNum w:abstractNumId="20">
    <w:nsid w:val="61387023"/>
    <w:multiLevelType w:val="multilevel"/>
    <w:tmpl w:val="61387023"/>
    <w:lvl w:ilvl="0" w:tentative="0">
      <w:start w:val="1"/>
      <w:numFmt w:val="decimal"/>
      <w:pStyle w:val="401"/>
      <w:lvlText w:val="图 %1"/>
      <w:lvlJc w:val="left"/>
      <w:pPr>
        <w:tabs>
          <w:tab w:val="left" w:pos="708"/>
        </w:tabs>
        <w:ind w:left="708" w:hanging="42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5"/>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5"/>
      <w:numFmt w:val="bullet"/>
      <w:lvlText w:val="-"/>
      <w:lvlJc w:val="left"/>
      <w:pPr>
        <w:tabs>
          <w:tab w:val="left" w:pos="2460"/>
        </w:tabs>
        <w:ind w:left="2460" w:hanging="360"/>
      </w:pPr>
      <w:rPr>
        <w:rFonts w:hint="default" w:ascii="Tahoma" w:hAnsi="Tahoma" w:eastAsia="宋体" w:cs="Tahom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2"/>
  </w:num>
  <w:num w:numId="2">
    <w:abstractNumId w:val="1"/>
  </w:num>
  <w:num w:numId="3">
    <w:abstractNumId w:val="8"/>
  </w:num>
  <w:num w:numId="4">
    <w:abstractNumId w:val="11"/>
  </w:num>
  <w:num w:numId="5">
    <w:abstractNumId w:val="4"/>
  </w:num>
  <w:num w:numId="6">
    <w:abstractNumId w:val="9"/>
  </w:num>
  <w:num w:numId="7">
    <w:abstractNumId w:val="6"/>
  </w:num>
  <w:num w:numId="8">
    <w:abstractNumId w:val="5"/>
  </w:num>
  <w:num w:numId="9">
    <w:abstractNumId w:val="13"/>
  </w:num>
  <w:num w:numId="10">
    <w:abstractNumId w:val="18"/>
  </w:num>
  <w:num w:numId="11">
    <w:abstractNumId w:val="12"/>
  </w:num>
  <w:num w:numId="12">
    <w:abstractNumId w:val="20"/>
  </w:num>
  <w:num w:numId="13">
    <w:abstractNumId w:val="7"/>
  </w:num>
  <w:num w:numId="14">
    <w:abstractNumId w:val="10"/>
  </w:num>
  <w:num w:numId="15">
    <w:abstractNumId w:val="15"/>
  </w:num>
  <w:num w:numId="16">
    <w:abstractNumId w:val="3"/>
  </w:num>
  <w:num w:numId="17">
    <w:abstractNumId w:val="17"/>
  </w:num>
  <w:num w:numId="18">
    <w:abstractNumId w:val="0"/>
  </w:num>
  <w:num w:numId="19">
    <w:abstractNumId w:val="14"/>
  </w:num>
  <w:num w:numId="20">
    <w:abstractNumId w:val="21"/>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67"/>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mE1YWU5NzFiZGVjOTE2MGM4OWY0YzgxZDQ4Y2MzY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6C2"/>
    <w:rsid w:val="00014851"/>
    <w:rsid w:val="000149E0"/>
    <w:rsid w:val="00014D98"/>
    <w:rsid w:val="00014F5D"/>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9F5"/>
    <w:rsid w:val="00031A81"/>
    <w:rsid w:val="00031B2F"/>
    <w:rsid w:val="00031B98"/>
    <w:rsid w:val="00031BCE"/>
    <w:rsid w:val="00031EC6"/>
    <w:rsid w:val="000324CE"/>
    <w:rsid w:val="00032727"/>
    <w:rsid w:val="00032743"/>
    <w:rsid w:val="000328A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6F88"/>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8DE"/>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111"/>
    <w:rsid w:val="0005434F"/>
    <w:rsid w:val="00054540"/>
    <w:rsid w:val="000547C4"/>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87E"/>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65F"/>
    <w:rsid w:val="00063AB9"/>
    <w:rsid w:val="000640A5"/>
    <w:rsid w:val="00064564"/>
    <w:rsid w:val="000645FE"/>
    <w:rsid w:val="000649EC"/>
    <w:rsid w:val="00064C87"/>
    <w:rsid w:val="00064D5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CCD"/>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5CA3"/>
    <w:rsid w:val="00075E4C"/>
    <w:rsid w:val="00076259"/>
    <w:rsid w:val="0007662D"/>
    <w:rsid w:val="00076BB5"/>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172"/>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0FA8"/>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622"/>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2C"/>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B72"/>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692"/>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884"/>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BD"/>
    <w:rsid w:val="000D45CE"/>
    <w:rsid w:val="000D47A9"/>
    <w:rsid w:val="000D4985"/>
    <w:rsid w:val="000D4BAD"/>
    <w:rsid w:val="000D4CDB"/>
    <w:rsid w:val="000D4EA5"/>
    <w:rsid w:val="000D4F97"/>
    <w:rsid w:val="000D524E"/>
    <w:rsid w:val="000D54BA"/>
    <w:rsid w:val="000D5B64"/>
    <w:rsid w:val="000D5C3A"/>
    <w:rsid w:val="000D5FE2"/>
    <w:rsid w:val="000D6209"/>
    <w:rsid w:val="000D643C"/>
    <w:rsid w:val="000D64DD"/>
    <w:rsid w:val="000D6AEB"/>
    <w:rsid w:val="000D6C0B"/>
    <w:rsid w:val="000D6C2E"/>
    <w:rsid w:val="000D7460"/>
    <w:rsid w:val="000D7971"/>
    <w:rsid w:val="000D79DB"/>
    <w:rsid w:val="000D7CA8"/>
    <w:rsid w:val="000D7D7F"/>
    <w:rsid w:val="000D7D9A"/>
    <w:rsid w:val="000D7E52"/>
    <w:rsid w:val="000D7EEC"/>
    <w:rsid w:val="000E0249"/>
    <w:rsid w:val="000E0865"/>
    <w:rsid w:val="000E0994"/>
    <w:rsid w:val="000E09FF"/>
    <w:rsid w:val="000E10BC"/>
    <w:rsid w:val="000E11BF"/>
    <w:rsid w:val="000E11E6"/>
    <w:rsid w:val="000E1232"/>
    <w:rsid w:val="000E1253"/>
    <w:rsid w:val="000E12D6"/>
    <w:rsid w:val="000E1590"/>
    <w:rsid w:val="000E1859"/>
    <w:rsid w:val="000E1C30"/>
    <w:rsid w:val="000E1CCF"/>
    <w:rsid w:val="000E208B"/>
    <w:rsid w:val="000E2595"/>
    <w:rsid w:val="000E279C"/>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6E"/>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D94"/>
    <w:rsid w:val="000F5E7A"/>
    <w:rsid w:val="000F616A"/>
    <w:rsid w:val="000F6258"/>
    <w:rsid w:val="000F636C"/>
    <w:rsid w:val="000F64E1"/>
    <w:rsid w:val="000F66A1"/>
    <w:rsid w:val="000F67F0"/>
    <w:rsid w:val="000F6CE4"/>
    <w:rsid w:val="000F72E1"/>
    <w:rsid w:val="000F7329"/>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9AE"/>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0E2"/>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8A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AE5"/>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66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53D"/>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0C4"/>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9A2"/>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C0C"/>
    <w:rsid w:val="00162DFF"/>
    <w:rsid w:val="001631B4"/>
    <w:rsid w:val="00163669"/>
    <w:rsid w:val="001638E0"/>
    <w:rsid w:val="001639E3"/>
    <w:rsid w:val="00163A1E"/>
    <w:rsid w:val="00163A32"/>
    <w:rsid w:val="00163B06"/>
    <w:rsid w:val="00163DD7"/>
    <w:rsid w:val="00163DF8"/>
    <w:rsid w:val="0016414D"/>
    <w:rsid w:val="001644EF"/>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70A"/>
    <w:rsid w:val="001717E6"/>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EF8"/>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1F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F4C"/>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291"/>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94"/>
    <w:rsid w:val="001B3EF9"/>
    <w:rsid w:val="001B40C8"/>
    <w:rsid w:val="001B40F1"/>
    <w:rsid w:val="001B43B1"/>
    <w:rsid w:val="001B4499"/>
    <w:rsid w:val="001B49F0"/>
    <w:rsid w:val="001B504D"/>
    <w:rsid w:val="001B5307"/>
    <w:rsid w:val="001B53EE"/>
    <w:rsid w:val="001B56F4"/>
    <w:rsid w:val="001B5847"/>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B29"/>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0E6A"/>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4C"/>
    <w:rsid w:val="001E280C"/>
    <w:rsid w:val="001E2D70"/>
    <w:rsid w:val="001E306C"/>
    <w:rsid w:val="001E3228"/>
    <w:rsid w:val="001E3354"/>
    <w:rsid w:val="001E34AA"/>
    <w:rsid w:val="001E34EF"/>
    <w:rsid w:val="001E3638"/>
    <w:rsid w:val="001E3764"/>
    <w:rsid w:val="001E377E"/>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38C"/>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31"/>
    <w:rsid w:val="001F68EE"/>
    <w:rsid w:val="001F68FD"/>
    <w:rsid w:val="001F6946"/>
    <w:rsid w:val="001F6CEE"/>
    <w:rsid w:val="001F6DA2"/>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555"/>
    <w:rsid w:val="0020182B"/>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6B"/>
    <w:rsid w:val="00207CF8"/>
    <w:rsid w:val="00207E99"/>
    <w:rsid w:val="002105B2"/>
    <w:rsid w:val="002105C3"/>
    <w:rsid w:val="0021063C"/>
    <w:rsid w:val="0021085B"/>
    <w:rsid w:val="00210A3A"/>
    <w:rsid w:val="00210C07"/>
    <w:rsid w:val="00210C63"/>
    <w:rsid w:val="00210E93"/>
    <w:rsid w:val="00211392"/>
    <w:rsid w:val="00211650"/>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D94"/>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12"/>
    <w:rsid w:val="00220C2D"/>
    <w:rsid w:val="00220C2E"/>
    <w:rsid w:val="00220C35"/>
    <w:rsid w:val="00220D25"/>
    <w:rsid w:val="00220FED"/>
    <w:rsid w:val="0022105D"/>
    <w:rsid w:val="00221078"/>
    <w:rsid w:val="002213D0"/>
    <w:rsid w:val="002214B2"/>
    <w:rsid w:val="0022153F"/>
    <w:rsid w:val="0022159C"/>
    <w:rsid w:val="002215B7"/>
    <w:rsid w:val="00221869"/>
    <w:rsid w:val="00221D2A"/>
    <w:rsid w:val="00221E82"/>
    <w:rsid w:val="00221EA7"/>
    <w:rsid w:val="00222202"/>
    <w:rsid w:val="00222706"/>
    <w:rsid w:val="00222A23"/>
    <w:rsid w:val="00222A66"/>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463"/>
    <w:rsid w:val="0022558D"/>
    <w:rsid w:val="0022562C"/>
    <w:rsid w:val="002256A6"/>
    <w:rsid w:val="00225CC1"/>
    <w:rsid w:val="00225D5A"/>
    <w:rsid w:val="00225D96"/>
    <w:rsid w:val="00225DBE"/>
    <w:rsid w:val="0022619D"/>
    <w:rsid w:val="00226217"/>
    <w:rsid w:val="0022656B"/>
    <w:rsid w:val="00226831"/>
    <w:rsid w:val="00226BA4"/>
    <w:rsid w:val="00226C94"/>
    <w:rsid w:val="00226E2D"/>
    <w:rsid w:val="00226F38"/>
    <w:rsid w:val="00226FD1"/>
    <w:rsid w:val="0022737E"/>
    <w:rsid w:val="00227679"/>
    <w:rsid w:val="00227B21"/>
    <w:rsid w:val="00227BC9"/>
    <w:rsid w:val="00230023"/>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D9"/>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09E"/>
    <w:rsid w:val="00243177"/>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62"/>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2B7"/>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2B"/>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6A"/>
    <w:rsid w:val="002832A6"/>
    <w:rsid w:val="002834E4"/>
    <w:rsid w:val="002837B1"/>
    <w:rsid w:val="00283AA1"/>
    <w:rsid w:val="00283C48"/>
    <w:rsid w:val="00283D5E"/>
    <w:rsid w:val="00283E2E"/>
    <w:rsid w:val="00283ED2"/>
    <w:rsid w:val="00283FC0"/>
    <w:rsid w:val="00283FD7"/>
    <w:rsid w:val="00284572"/>
    <w:rsid w:val="002846A1"/>
    <w:rsid w:val="00284859"/>
    <w:rsid w:val="00284905"/>
    <w:rsid w:val="00284C10"/>
    <w:rsid w:val="00284F69"/>
    <w:rsid w:val="00285306"/>
    <w:rsid w:val="00285314"/>
    <w:rsid w:val="0028565E"/>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A9"/>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931"/>
    <w:rsid w:val="00296B1D"/>
    <w:rsid w:val="00296D5F"/>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5EA"/>
    <w:rsid w:val="002A4847"/>
    <w:rsid w:val="002A4DA4"/>
    <w:rsid w:val="002A4E3C"/>
    <w:rsid w:val="002A5042"/>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C9C"/>
    <w:rsid w:val="002B1EAA"/>
    <w:rsid w:val="002B1EF8"/>
    <w:rsid w:val="002B20CC"/>
    <w:rsid w:val="002B21C7"/>
    <w:rsid w:val="002B25DB"/>
    <w:rsid w:val="002B284E"/>
    <w:rsid w:val="002B285A"/>
    <w:rsid w:val="002B29B3"/>
    <w:rsid w:val="002B2AC2"/>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93"/>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BDE"/>
    <w:rsid w:val="002D0C69"/>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077"/>
    <w:rsid w:val="002F41C0"/>
    <w:rsid w:val="002F4344"/>
    <w:rsid w:val="002F4435"/>
    <w:rsid w:val="002F443E"/>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5E1"/>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18"/>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2F"/>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179DE"/>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7E7"/>
    <w:rsid w:val="00331C19"/>
    <w:rsid w:val="00331E9E"/>
    <w:rsid w:val="00331F7B"/>
    <w:rsid w:val="00332228"/>
    <w:rsid w:val="003322B4"/>
    <w:rsid w:val="003322E8"/>
    <w:rsid w:val="003325BF"/>
    <w:rsid w:val="003325EB"/>
    <w:rsid w:val="003325F4"/>
    <w:rsid w:val="003327DF"/>
    <w:rsid w:val="00332908"/>
    <w:rsid w:val="00332A0B"/>
    <w:rsid w:val="00332B3E"/>
    <w:rsid w:val="00332B90"/>
    <w:rsid w:val="00332E5E"/>
    <w:rsid w:val="00332FA5"/>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CCE"/>
    <w:rsid w:val="00335D99"/>
    <w:rsid w:val="003361C6"/>
    <w:rsid w:val="003361E6"/>
    <w:rsid w:val="00336526"/>
    <w:rsid w:val="003367F5"/>
    <w:rsid w:val="0033685F"/>
    <w:rsid w:val="00336993"/>
    <w:rsid w:val="00336A49"/>
    <w:rsid w:val="00336A66"/>
    <w:rsid w:val="00336AB3"/>
    <w:rsid w:val="00336B59"/>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1D"/>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59B"/>
    <w:rsid w:val="0034581F"/>
    <w:rsid w:val="00345A10"/>
    <w:rsid w:val="00345F57"/>
    <w:rsid w:val="003460FF"/>
    <w:rsid w:val="00346218"/>
    <w:rsid w:val="00346850"/>
    <w:rsid w:val="003469F1"/>
    <w:rsid w:val="00346AC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BA"/>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C0D"/>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3F73"/>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EBF"/>
    <w:rsid w:val="00376FB2"/>
    <w:rsid w:val="003777EF"/>
    <w:rsid w:val="00377AA4"/>
    <w:rsid w:val="00377AC7"/>
    <w:rsid w:val="00377B03"/>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7F9"/>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87FB1"/>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B5"/>
    <w:rsid w:val="00395FF5"/>
    <w:rsid w:val="00396080"/>
    <w:rsid w:val="0039612B"/>
    <w:rsid w:val="0039619B"/>
    <w:rsid w:val="0039653A"/>
    <w:rsid w:val="00396800"/>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A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916"/>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6F5A"/>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1EA"/>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7D"/>
    <w:rsid w:val="003D5FE3"/>
    <w:rsid w:val="003D6035"/>
    <w:rsid w:val="003D6498"/>
    <w:rsid w:val="003D6899"/>
    <w:rsid w:val="003D6B8C"/>
    <w:rsid w:val="003D6C7D"/>
    <w:rsid w:val="003D70F1"/>
    <w:rsid w:val="003D7296"/>
    <w:rsid w:val="003D7368"/>
    <w:rsid w:val="003D7589"/>
    <w:rsid w:val="003D775F"/>
    <w:rsid w:val="003D7A34"/>
    <w:rsid w:val="003D7A93"/>
    <w:rsid w:val="003D7AB7"/>
    <w:rsid w:val="003D7BA7"/>
    <w:rsid w:val="003E012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4D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213"/>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74"/>
    <w:rsid w:val="003F6044"/>
    <w:rsid w:val="003F6088"/>
    <w:rsid w:val="003F6454"/>
    <w:rsid w:val="003F66BB"/>
    <w:rsid w:val="003F6817"/>
    <w:rsid w:val="003F68C9"/>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9E7"/>
    <w:rsid w:val="00403C92"/>
    <w:rsid w:val="00403D62"/>
    <w:rsid w:val="00403EDA"/>
    <w:rsid w:val="004040A9"/>
    <w:rsid w:val="00404198"/>
    <w:rsid w:val="004043B8"/>
    <w:rsid w:val="0040448E"/>
    <w:rsid w:val="004044B0"/>
    <w:rsid w:val="00404538"/>
    <w:rsid w:val="0040453F"/>
    <w:rsid w:val="00404553"/>
    <w:rsid w:val="004046A0"/>
    <w:rsid w:val="004046AC"/>
    <w:rsid w:val="00404754"/>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986"/>
    <w:rsid w:val="00413AD8"/>
    <w:rsid w:val="00413FF3"/>
    <w:rsid w:val="0041402C"/>
    <w:rsid w:val="00414511"/>
    <w:rsid w:val="00414A6F"/>
    <w:rsid w:val="00414AEE"/>
    <w:rsid w:val="00414C26"/>
    <w:rsid w:val="00415122"/>
    <w:rsid w:val="004153BF"/>
    <w:rsid w:val="0041569A"/>
    <w:rsid w:val="004158D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499"/>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535"/>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416"/>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25B"/>
    <w:rsid w:val="0044440B"/>
    <w:rsid w:val="0044472F"/>
    <w:rsid w:val="00444783"/>
    <w:rsid w:val="00444C59"/>
    <w:rsid w:val="00444ED1"/>
    <w:rsid w:val="00444FC6"/>
    <w:rsid w:val="0044506C"/>
    <w:rsid w:val="00445422"/>
    <w:rsid w:val="0044563B"/>
    <w:rsid w:val="004457C8"/>
    <w:rsid w:val="004457EE"/>
    <w:rsid w:val="0044584D"/>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B52"/>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7C"/>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95E"/>
    <w:rsid w:val="00473A99"/>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A3"/>
    <w:rsid w:val="004802F4"/>
    <w:rsid w:val="00480513"/>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0B"/>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3BC"/>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E24"/>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149"/>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927"/>
    <w:rsid w:val="004B6E3A"/>
    <w:rsid w:val="004B6FF5"/>
    <w:rsid w:val="004B7233"/>
    <w:rsid w:val="004B724D"/>
    <w:rsid w:val="004B72B9"/>
    <w:rsid w:val="004B73E3"/>
    <w:rsid w:val="004B753E"/>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345"/>
    <w:rsid w:val="004C7D3A"/>
    <w:rsid w:val="004D011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68"/>
    <w:rsid w:val="004E00B0"/>
    <w:rsid w:val="004E0375"/>
    <w:rsid w:val="004E044E"/>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1FD"/>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869"/>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DEA"/>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24E"/>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F25"/>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5F11"/>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DE6"/>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BB5"/>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59"/>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376"/>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521"/>
    <w:rsid w:val="005636B6"/>
    <w:rsid w:val="00563980"/>
    <w:rsid w:val="005639BD"/>
    <w:rsid w:val="00563A42"/>
    <w:rsid w:val="00563AD0"/>
    <w:rsid w:val="00563B27"/>
    <w:rsid w:val="00563D54"/>
    <w:rsid w:val="00563FCF"/>
    <w:rsid w:val="005640FA"/>
    <w:rsid w:val="00564116"/>
    <w:rsid w:val="005645FC"/>
    <w:rsid w:val="005648DA"/>
    <w:rsid w:val="00564A39"/>
    <w:rsid w:val="00564A4B"/>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BF8"/>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744"/>
    <w:rsid w:val="005818E6"/>
    <w:rsid w:val="00581971"/>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2FA"/>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36"/>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840"/>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C5B"/>
    <w:rsid w:val="005B5F99"/>
    <w:rsid w:val="005B5FF2"/>
    <w:rsid w:val="005B603E"/>
    <w:rsid w:val="005B60C4"/>
    <w:rsid w:val="005B60D3"/>
    <w:rsid w:val="005B65A2"/>
    <w:rsid w:val="005B65E3"/>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C50"/>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5F33"/>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A5B"/>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894"/>
    <w:rsid w:val="005D396D"/>
    <w:rsid w:val="005D3A16"/>
    <w:rsid w:val="005D3A6C"/>
    <w:rsid w:val="005D3B0D"/>
    <w:rsid w:val="005D3BC1"/>
    <w:rsid w:val="005D3D2C"/>
    <w:rsid w:val="005D3F21"/>
    <w:rsid w:val="005D44B3"/>
    <w:rsid w:val="005D4550"/>
    <w:rsid w:val="005D4579"/>
    <w:rsid w:val="005D45F8"/>
    <w:rsid w:val="005D48E9"/>
    <w:rsid w:val="005D4A1F"/>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245"/>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D7EDF"/>
    <w:rsid w:val="005E00A6"/>
    <w:rsid w:val="005E019B"/>
    <w:rsid w:val="005E0B26"/>
    <w:rsid w:val="005E1749"/>
    <w:rsid w:val="005E1C8A"/>
    <w:rsid w:val="005E1DA5"/>
    <w:rsid w:val="005E222A"/>
    <w:rsid w:val="005E23E1"/>
    <w:rsid w:val="005E291A"/>
    <w:rsid w:val="005E2976"/>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46"/>
    <w:rsid w:val="0060376B"/>
    <w:rsid w:val="00603A39"/>
    <w:rsid w:val="006046C4"/>
    <w:rsid w:val="00604734"/>
    <w:rsid w:val="00604770"/>
    <w:rsid w:val="00604AD6"/>
    <w:rsid w:val="00604D09"/>
    <w:rsid w:val="00604EDD"/>
    <w:rsid w:val="0060537C"/>
    <w:rsid w:val="006054A3"/>
    <w:rsid w:val="0060559C"/>
    <w:rsid w:val="006055A9"/>
    <w:rsid w:val="00605641"/>
    <w:rsid w:val="00605732"/>
    <w:rsid w:val="006057E4"/>
    <w:rsid w:val="00605DB1"/>
    <w:rsid w:val="00605ECA"/>
    <w:rsid w:val="00606291"/>
    <w:rsid w:val="006062CD"/>
    <w:rsid w:val="006064A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9AE"/>
    <w:rsid w:val="00613A1D"/>
    <w:rsid w:val="00613EB1"/>
    <w:rsid w:val="00613ED8"/>
    <w:rsid w:val="006140D2"/>
    <w:rsid w:val="0061413F"/>
    <w:rsid w:val="00614486"/>
    <w:rsid w:val="00614664"/>
    <w:rsid w:val="0061466C"/>
    <w:rsid w:val="0061495C"/>
    <w:rsid w:val="00614ADB"/>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3FB"/>
    <w:rsid w:val="006325B9"/>
    <w:rsid w:val="0063276B"/>
    <w:rsid w:val="006327B3"/>
    <w:rsid w:val="00632A99"/>
    <w:rsid w:val="00632DC9"/>
    <w:rsid w:val="00632FB8"/>
    <w:rsid w:val="00633098"/>
    <w:rsid w:val="006330FD"/>
    <w:rsid w:val="0063330C"/>
    <w:rsid w:val="006333DF"/>
    <w:rsid w:val="006334E6"/>
    <w:rsid w:val="00633542"/>
    <w:rsid w:val="00633B06"/>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3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8E6"/>
    <w:rsid w:val="00642917"/>
    <w:rsid w:val="00642BC9"/>
    <w:rsid w:val="00642C23"/>
    <w:rsid w:val="00642F96"/>
    <w:rsid w:val="00643013"/>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05D"/>
    <w:rsid w:val="00645218"/>
    <w:rsid w:val="0064573F"/>
    <w:rsid w:val="00645AE4"/>
    <w:rsid w:val="006463DB"/>
    <w:rsid w:val="006464DA"/>
    <w:rsid w:val="006465F8"/>
    <w:rsid w:val="0064695D"/>
    <w:rsid w:val="00646A70"/>
    <w:rsid w:val="00646DFA"/>
    <w:rsid w:val="00646E0D"/>
    <w:rsid w:val="00646F0D"/>
    <w:rsid w:val="00646F40"/>
    <w:rsid w:val="006471BE"/>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1F8C"/>
    <w:rsid w:val="00652258"/>
    <w:rsid w:val="006523E8"/>
    <w:rsid w:val="006525C5"/>
    <w:rsid w:val="006527C8"/>
    <w:rsid w:val="006528E9"/>
    <w:rsid w:val="00652BB4"/>
    <w:rsid w:val="00652FC4"/>
    <w:rsid w:val="00653144"/>
    <w:rsid w:val="0065319F"/>
    <w:rsid w:val="00653437"/>
    <w:rsid w:val="006534F4"/>
    <w:rsid w:val="006536C4"/>
    <w:rsid w:val="0065372D"/>
    <w:rsid w:val="00653901"/>
    <w:rsid w:val="00653C98"/>
    <w:rsid w:val="00653D89"/>
    <w:rsid w:val="00654077"/>
    <w:rsid w:val="006540F9"/>
    <w:rsid w:val="0065420C"/>
    <w:rsid w:val="006545F9"/>
    <w:rsid w:val="006548E9"/>
    <w:rsid w:val="00654916"/>
    <w:rsid w:val="00654BFE"/>
    <w:rsid w:val="00654DB7"/>
    <w:rsid w:val="00654F6E"/>
    <w:rsid w:val="00655003"/>
    <w:rsid w:val="00655022"/>
    <w:rsid w:val="00655198"/>
    <w:rsid w:val="0065577D"/>
    <w:rsid w:val="006559E7"/>
    <w:rsid w:val="00655F67"/>
    <w:rsid w:val="00656011"/>
    <w:rsid w:val="0065634C"/>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7EB"/>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AAC"/>
    <w:rsid w:val="00681C86"/>
    <w:rsid w:val="00681E57"/>
    <w:rsid w:val="0068228A"/>
    <w:rsid w:val="0068237F"/>
    <w:rsid w:val="0068240B"/>
    <w:rsid w:val="00682C75"/>
    <w:rsid w:val="00683044"/>
    <w:rsid w:val="00683238"/>
    <w:rsid w:val="00683471"/>
    <w:rsid w:val="006834FA"/>
    <w:rsid w:val="006835A5"/>
    <w:rsid w:val="0068374C"/>
    <w:rsid w:val="006839F5"/>
    <w:rsid w:val="00683C23"/>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4F"/>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DE0"/>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B4E"/>
    <w:rsid w:val="006A3D35"/>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61E"/>
    <w:rsid w:val="006B179D"/>
    <w:rsid w:val="006B1815"/>
    <w:rsid w:val="006B1ACC"/>
    <w:rsid w:val="006B1C2B"/>
    <w:rsid w:val="006B1C4E"/>
    <w:rsid w:val="006B1E1A"/>
    <w:rsid w:val="006B1E6E"/>
    <w:rsid w:val="006B1FAF"/>
    <w:rsid w:val="006B24F7"/>
    <w:rsid w:val="006B261E"/>
    <w:rsid w:val="006B26E2"/>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5B"/>
    <w:rsid w:val="006C2986"/>
    <w:rsid w:val="006C2A0D"/>
    <w:rsid w:val="006C2AF2"/>
    <w:rsid w:val="006C2D2F"/>
    <w:rsid w:val="006C32F8"/>
    <w:rsid w:val="006C335A"/>
    <w:rsid w:val="006C33D9"/>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41A"/>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6A0"/>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A2"/>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DB6"/>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A2"/>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4D1"/>
    <w:rsid w:val="007165AC"/>
    <w:rsid w:val="00716709"/>
    <w:rsid w:val="00716724"/>
    <w:rsid w:val="00716854"/>
    <w:rsid w:val="00716A0C"/>
    <w:rsid w:val="00716A79"/>
    <w:rsid w:val="00716F81"/>
    <w:rsid w:val="007173E4"/>
    <w:rsid w:val="00717492"/>
    <w:rsid w:val="0071753D"/>
    <w:rsid w:val="00717662"/>
    <w:rsid w:val="007176D1"/>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31F"/>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3C2"/>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7F8"/>
    <w:rsid w:val="00736826"/>
    <w:rsid w:val="00736AD8"/>
    <w:rsid w:val="00736AEB"/>
    <w:rsid w:val="00736B5D"/>
    <w:rsid w:val="00736C50"/>
    <w:rsid w:val="00736FFC"/>
    <w:rsid w:val="007370C5"/>
    <w:rsid w:val="007370CD"/>
    <w:rsid w:val="00737278"/>
    <w:rsid w:val="007372F9"/>
    <w:rsid w:val="00737565"/>
    <w:rsid w:val="00737645"/>
    <w:rsid w:val="007378F8"/>
    <w:rsid w:val="00737906"/>
    <w:rsid w:val="0073796C"/>
    <w:rsid w:val="00737C15"/>
    <w:rsid w:val="00737C2E"/>
    <w:rsid w:val="00737F72"/>
    <w:rsid w:val="00737FFA"/>
    <w:rsid w:val="0074004B"/>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5FF2"/>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C1D"/>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8C"/>
    <w:rsid w:val="007554A0"/>
    <w:rsid w:val="007555D0"/>
    <w:rsid w:val="00755974"/>
    <w:rsid w:val="00755A68"/>
    <w:rsid w:val="00755A73"/>
    <w:rsid w:val="00755B23"/>
    <w:rsid w:val="00755DF3"/>
    <w:rsid w:val="00756493"/>
    <w:rsid w:val="007566F3"/>
    <w:rsid w:val="00756774"/>
    <w:rsid w:val="00756828"/>
    <w:rsid w:val="00756C43"/>
    <w:rsid w:val="00756C78"/>
    <w:rsid w:val="00756D8F"/>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75"/>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4CD"/>
    <w:rsid w:val="00780548"/>
    <w:rsid w:val="007805E1"/>
    <w:rsid w:val="00780A17"/>
    <w:rsid w:val="00780A86"/>
    <w:rsid w:val="00780C88"/>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BA4"/>
    <w:rsid w:val="00786D45"/>
    <w:rsid w:val="00786F79"/>
    <w:rsid w:val="00787357"/>
    <w:rsid w:val="007873C1"/>
    <w:rsid w:val="007873C3"/>
    <w:rsid w:val="007873E3"/>
    <w:rsid w:val="0078751C"/>
    <w:rsid w:val="007877A9"/>
    <w:rsid w:val="00787886"/>
    <w:rsid w:val="00787B89"/>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B59"/>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4C1"/>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29D"/>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6FE6"/>
    <w:rsid w:val="007B73E4"/>
    <w:rsid w:val="007B7A3A"/>
    <w:rsid w:val="007B7AE6"/>
    <w:rsid w:val="007C04B1"/>
    <w:rsid w:val="007C07CD"/>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C7E97"/>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065"/>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EF7"/>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8A"/>
    <w:rsid w:val="007F1BB4"/>
    <w:rsid w:val="007F22DB"/>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16"/>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5C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5D3"/>
    <w:rsid w:val="008047E4"/>
    <w:rsid w:val="00804B9A"/>
    <w:rsid w:val="00804C23"/>
    <w:rsid w:val="00804D33"/>
    <w:rsid w:val="00804F05"/>
    <w:rsid w:val="008052FD"/>
    <w:rsid w:val="0080547C"/>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95"/>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77"/>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A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58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823"/>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AFF"/>
    <w:rsid w:val="00853C8C"/>
    <w:rsid w:val="00853D1D"/>
    <w:rsid w:val="00853D2C"/>
    <w:rsid w:val="00853DCF"/>
    <w:rsid w:val="00853F87"/>
    <w:rsid w:val="00853F94"/>
    <w:rsid w:val="0085416E"/>
    <w:rsid w:val="008541C5"/>
    <w:rsid w:val="008542C8"/>
    <w:rsid w:val="00854341"/>
    <w:rsid w:val="0085449C"/>
    <w:rsid w:val="008546DC"/>
    <w:rsid w:val="00854767"/>
    <w:rsid w:val="008549BD"/>
    <w:rsid w:val="00854E63"/>
    <w:rsid w:val="00854F87"/>
    <w:rsid w:val="00855043"/>
    <w:rsid w:val="008550B8"/>
    <w:rsid w:val="00855168"/>
    <w:rsid w:val="0085557F"/>
    <w:rsid w:val="0085561F"/>
    <w:rsid w:val="0085562A"/>
    <w:rsid w:val="008558C7"/>
    <w:rsid w:val="0085590A"/>
    <w:rsid w:val="00855B2B"/>
    <w:rsid w:val="00855C17"/>
    <w:rsid w:val="00855C22"/>
    <w:rsid w:val="00855E10"/>
    <w:rsid w:val="00856039"/>
    <w:rsid w:val="00856261"/>
    <w:rsid w:val="008564A8"/>
    <w:rsid w:val="00856753"/>
    <w:rsid w:val="008568E5"/>
    <w:rsid w:val="00856A89"/>
    <w:rsid w:val="00856C08"/>
    <w:rsid w:val="0085703F"/>
    <w:rsid w:val="0085742E"/>
    <w:rsid w:val="00857749"/>
    <w:rsid w:val="00857874"/>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1F"/>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4FC9"/>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3F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FFB"/>
    <w:rsid w:val="0088111C"/>
    <w:rsid w:val="00881261"/>
    <w:rsid w:val="00881275"/>
    <w:rsid w:val="008814B9"/>
    <w:rsid w:val="00881536"/>
    <w:rsid w:val="00881C0F"/>
    <w:rsid w:val="00881F98"/>
    <w:rsid w:val="008823A4"/>
    <w:rsid w:val="00882694"/>
    <w:rsid w:val="00882BF9"/>
    <w:rsid w:val="00882CDE"/>
    <w:rsid w:val="00882D4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4E6"/>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915"/>
    <w:rsid w:val="008A4A77"/>
    <w:rsid w:val="008A4B7E"/>
    <w:rsid w:val="008A4D9A"/>
    <w:rsid w:val="008A52CC"/>
    <w:rsid w:val="008A5700"/>
    <w:rsid w:val="008A5883"/>
    <w:rsid w:val="008A5A2E"/>
    <w:rsid w:val="008A5A78"/>
    <w:rsid w:val="008A5EC5"/>
    <w:rsid w:val="008A5ED2"/>
    <w:rsid w:val="008A5F93"/>
    <w:rsid w:val="008A60B6"/>
    <w:rsid w:val="008A613D"/>
    <w:rsid w:val="008A632B"/>
    <w:rsid w:val="008A6693"/>
    <w:rsid w:val="008A66CE"/>
    <w:rsid w:val="008A6703"/>
    <w:rsid w:val="008A678E"/>
    <w:rsid w:val="008A69C4"/>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692"/>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A10"/>
    <w:rsid w:val="008C1AFD"/>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D05"/>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47"/>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B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0B3"/>
    <w:rsid w:val="008F750F"/>
    <w:rsid w:val="008F7770"/>
    <w:rsid w:val="008F7837"/>
    <w:rsid w:val="008F7A2F"/>
    <w:rsid w:val="008F7C0D"/>
    <w:rsid w:val="008F7DFD"/>
    <w:rsid w:val="008F7E2C"/>
    <w:rsid w:val="008F7E8E"/>
    <w:rsid w:val="008F7F68"/>
    <w:rsid w:val="0090019F"/>
    <w:rsid w:val="009004F3"/>
    <w:rsid w:val="009005AD"/>
    <w:rsid w:val="00900AF1"/>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69C"/>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21F"/>
    <w:rsid w:val="00917314"/>
    <w:rsid w:val="009173D9"/>
    <w:rsid w:val="009174B1"/>
    <w:rsid w:val="00917578"/>
    <w:rsid w:val="0091779F"/>
    <w:rsid w:val="00917B1B"/>
    <w:rsid w:val="00917D31"/>
    <w:rsid w:val="00917D3D"/>
    <w:rsid w:val="00917DCC"/>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3EA"/>
    <w:rsid w:val="00921443"/>
    <w:rsid w:val="00921476"/>
    <w:rsid w:val="00921624"/>
    <w:rsid w:val="00921859"/>
    <w:rsid w:val="0092189C"/>
    <w:rsid w:val="0092192C"/>
    <w:rsid w:val="00921973"/>
    <w:rsid w:val="009219DC"/>
    <w:rsid w:val="00921C31"/>
    <w:rsid w:val="00921EE4"/>
    <w:rsid w:val="00921F38"/>
    <w:rsid w:val="00921F7A"/>
    <w:rsid w:val="00922054"/>
    <w:rsid w:val="0092237B"/>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C0"/>
    <w:rsid w:val="009273E6"/>
    <w:rsid w:val="009276BC"/>
    <w:rsid w:val="009278D9"/>
    <w:rsid w:val="00927A66"/>
    <w:rsid w:val="00927A88"/>
    <w:rsid w:val="00927C90"/>
    <w:rsid w:val="00927D1E"/>
    <w:rsid w:val="009306F9"/>
    <w:rsid w:val="009308CB"/>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E22"/>
    <w:rsid w:val="00942284"/>
    <w:rsid w:val="009425D3"/>
    <w:rsid w:val="009426FB"/>
    <w:rsid w:val="009427D6"/>
    <w:rsid w:val="0094289F"/>
    <w:rsid w:val="00942A0D"/>
    <w:rsid w:val="00943170"/>
    <w:rsid w:val="00943325"/>
    <w:rsid w:val="009436D4"/>
    <w:rsid w:val="0094371D"/>
    <w:rsid w:val="00944482"/>
    <w:rsid w:val="0094449E"/>
    <w:rsid w:val="009445AB"/>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113"/>
    <w:rsid w:val="0095068D"/>
    <w:rsid w:val="00950706"/>
    <w:rsid w:val="009508D2"/>
    <w:rsid w:val="00950AAC"/>
    <w:rsid w:val="00950AB4"/>
    <w:rsid w:val="00951531"/>
    <w:rsid w:val="00951758"/>
    <w:rsid w:val="009517B8"/>
    <w:rsid w:val="009519F3"/>
    <w:rsid w:val="00951B38"/>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3E4"/>
    <w:rsid w:val="00966A2D"/>
    <w:rsid w:val="00966D41"/>
    <w:rsid w:val="0096713B"/>
    <w:rsid w:val="0096720F"/>
    <w:rsid w:val="00967210"/>
    <w:rsid w:val="009672D3"/>
    <w:rsid w:val="00967513"/>
    <w:rsid w:val="00967A58"/>
    <w:rsid w:val="00967D01"/>
    <w:rsid w:val="00967E67"/>
    <w:rsid w:val="00967ECC"/>
    <w:rsid w:val="009706BF"/>
    <w:rsid w:val="00970808"/>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83D"/>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5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381"/>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96D"/>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307"/>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906"/>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B9"/>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0F0"/>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69A"/>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D8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D6"/>
    <w:rsid w:val="009D3CE6"/>
    <w:rsid w:val="009D3F41"/>
    <w:rsid w:val="009D403B"/>
    <w:rsid w:val="009D459C"/>
    <w:rsid w:val="009D470F"/>
    <w:rsid w:val="009D4A13"/>
    <w:rsid w:val="009D4BC6"/>
    <w:rsid w:val="009D4CB8"/>
    <w:rsid w:val="009D4DB0"/>
    <w:rsid w:val="009D5015"/>
    <w:rsid w:val="009D53F1"/>
    <w:rsid w:val="009D5717"/>
    <w:rsid w:val="009D5827"/>
    <w:rsid w:val="009D598C"/>
    <w:rsid w:val="009D5CDC"/>
    <w:rsid w:val="009D5D06"/>
    <w:rsid w:val="009D5D22"/>
    <w:rsid w:val="009D5F7E"/>
    <w:rsid w:val="009D600D"/>
    <w:rsid w:val="009D6740"/>
    <w:rsid w:val="009D69B3"/>
    <w:rsid w:val="009D6BF1"/>
    <w:rsid w:val="009D6CAE"/>
    <w:rsid w:val="009D6CF1"/>
    <w:rsid w:val="009D6CFB"/>
    <w:rsid w:val="009D6D74"/>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8A9"/>
    <w:rsid w:val="009E398D"/>
    <w:rsid w:val="009E39AA"/>
    <w:rsid w:val="009E44CD"/>
    <w:rsid w:val="009E4A6A"/>
    <w:rsid w:val="009E4C0C"/>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82"/>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E7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CD8"/>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DE9"/>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9E1"/>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8F4"/>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6E71"/>
    <w:rsid w:val="00A270AB"/>
    <w:rsid w:val="00A2723B"/>
    <w:rsid w:val="00A273B8"/>
    <w:rsid w:val="00A278A8"/>
    <w:rsid w:val="00A27C55"/>
    <w:rsid w:val="00A27D07"/>
    <w:rsid w:val="00A27E3F"/>
    <w:rsid w:val="00A27E62"/>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8BE"/>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7A4"/>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BCB"/>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49E"/>
    <w:rsid w:val="00A71A1F"/>
    <w:rsid w:val="00A71C5E"/>
    <w:rsid w:val="00A71D29"/>
    <w:rsid w:val="00A71E77"/>
    <w:rsid w:val="00A71ECA"/>
    <w:rsid w:val="00A71F32"/>
    <w:rsid w:val="00A72194"/>
    <w:rsid w:val="00A72306"/>
    <w:rsid w:val="00A72514"/>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5F"/>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A00"/>
    <w:rsid w:val="00A801FD"/>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05"/>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B77"/>
    <w:rsid w:val="00A92DAC"/>
    <w:rsid w:val="00A92DF9"/>
    <w:rsid w:val="00A92EF0"/>
    <w:rsid w:val="00A93101"/>
    <w:rsid w:val="00A9338F"/>
    <w:rsid w:val="00A935BD"/>
    <w:rsid w:val="00A93D0E"/>
    <w:rsid w:val="00A93F0B"/>
    <w:rsid w:val="00A93F4F"/>
    <w:rsid w:val="00A940DF"/>
    <w:rsid w:val="00A9421F"/>
    <w:rsid w:val="00A94354"/>
    <w:rsid w:val="00A94843"/>
    <w:rsid w:val="00A949B7"/>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13F"/>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6FC"/>
    <w:rsid w:val="00AA6802"/>
    <w:rsid w:val="00AA6883"/>
    <w:rsid w:val="00AA6A4A"/>
    <w:rsid w:val="00AA6BDE"/>
    <w:rsid w:val="00AA6F9F"/>
    <w:rsid w:val="00AA7001"/>
    <w:rsid w:val="00AA7011"/>
    <w:rsid w:val="00AA72DA"/>
    <w:rsid w:val="00AA784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A9"/>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C6C"/>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491"/>
    <w:rsid w:val="00AD176A"/>
    <w:rsid w:val="00AD1808"/>
    <w:rsid w:val="00AD19BD"/>
    <w:rsid w:val="00AD1AFF"/>
    <w:rsid w:val="00AD1F69"/>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549"/>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2E0"/>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24E"/>
    <w:rsid w:val="00AE4703"/>
    <w:rsid w:val="00AE4BF3"/>
    <w:rsid w:val="00AE516D"/>
    <w:rsid w:val="00AE517E"/>
    <w:rsid w:val="00AE5246"/>
    <w:rsid w:val="00AE5292"/>
    <w:rsid w:val="00AE52B4"/>
    <w:rsid w:val="00AE56A2"/>
    <w:rsid w:val="00AE56C7"/>
    <w:rsid w:val="00AE58C5"/>
    <w:rsid w:val="00AE5993"/>
    <w:rsid w:val="00AE5B55"/>
    <w:rsid w:val="00AE5BF8"/>
    <w:rsid w:val="00AE5CFE"/>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7DA"/>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32C"/>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E89"/>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D0"/>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E9"/>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E81"/>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FD"/>
    <w:rsid w:val="00B4264F"/>
    <w:rsid w:val="00B428B6"/>
    <w:rsid w:val="00B42975"/>
    <w:rsid w:val="00B42ADD"/>
    <w:rsid w:val="00B42F7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5D0"/>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5EC7"/>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65"/>
    <w:rsid w:val="00B948DA"/>
    <w:rsid w:val="00B94CD2"/>
    <w:rsid w:val="00B950BF"/>
    <w:rsid w:val="00B95341"/>
    <w:rsid w:val="00B9536A"/>
    <w:rsid w:val="00B953FA"/>
    <w:rsid w:val="00B9597F"/>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561"/>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4FD4"/>
    <w:rsid w:val="00BC504D"/>
    <w:rsid w:val="00BC5061"/>
    <w:rsid w:val="00BC50AA"/>
    <w:rsid w:val="00BC5372"/>
    <w:rsid w:val="00BC541E"/>
    <w:rsid w:val="00BC5447"/>
    <w:rsid w:val="00BC5724"/>
    <w:rsid w:val="00BC582C"/>
    <w:rsid w:val="00BC588E"/>
    <w:rsid w:val="00BC5AF5"/>
    <w:rsid w:val="00BC5B89"/>
    <w:rsid w:val="00BC5EB0"/>
    <w:rsid w:val="00BC5EE3"/>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51"/>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6A9"/>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0B6"/>
    <w:rsid w:val="00BE01F6"/>
    <w:rsid w:val="00BE02B3"/>
    <w:rsid w:val="00BE050B"/>
    <w:rsid w:val="00BE0590"/>
    <w:rsid w:val="00BE080D"/>
    <w:rsid w:val="00BE0AB8"/>
    <w:rsid w:val="00BE0E8B"/>
    <w:rsid w:val="00BE0FB8"/>
    <w:rsid w:val="00BE14A0"/>
    <w:rsid w:val="00BE1866"/>
    <w:rsid w:val="00BE19F0"/>
    <w:rsid w:val="00BE1CDE"/>
    <w:rsid w:val="00BE1D5A"/>
    <w:rsid w:val="00BE1E31"/>
    <w:rsid w:val="00BE1F26"/>
    <w:rsid w:val="00BE21BC"/>
    <w:rsid w:val="00BE2249"/>
    <w:rsid w:val="00BE248C"/>
    <w:rsid w:val="00BE2593"/>
    <w:rsid w:val="00BE26BD"/>
    <w:rsid w:val="00BE27F3"/>
    <w:rsid w:val="00BE2CD1"/>
    <w:rsid w:val="00BE3451"/>
    <w:rsid w:val="00BE3506"/>
    <w:rsid w:val="00BE3A6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192"/>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9BE"/>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BEF"/>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BE"/>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B26"/>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1FA3"/>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27F8A"/>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CB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95"/>
    <w:rsid w:val="00C37C3A"/>
    <w:rsid w:val="00C37D11"/>
    <w:rsid w:val="00C37D38"/>
    <w:rsid w:val="00C37FED"/>
    <w:rsid w:val="00C406A2"/>
    <w:rsid w:val="00C40A33"/>
    <w:rsid w:val="00C40B04"/>
    <w:rsid w:val="00C40C5C"/>
    <w:rsid w:val="00C40E4D"/>
    <w:rsid w:val="00C40E78"/>
    <w:rsid w:val="00C40E7B"/>
    <w:rsid w:val="00C412CD"/>
    <w:rsid w:val="00C41407"/>
    <w:rsid w:val="00C41557"/>
    <w:rsid w:val="00C41A77"/>
    <w:rsid w:val="00C41F9B"/>
    <w:rsid w:val="00C429B4"/>
    <w:rsid w:val="00C42A62"/>
    <w:rsid w:val="00C42B80"/>
    <w:rsid w:val="00C430C6"/>
    <w:rsid w:val="00C43ADE"/>
    <w:rsid w:val="00C43F39"/>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4F5"/>
    <w:rsid w:val="00C56708"/>
    <w:rsid w:val="00C56779"/>
    <w:rsid w:val="00C567B5"/>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620"/>
    <w:rsid w:val="00C606E3"/>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967"/>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D5"/>
    <w:rsid w:val="00C72A16"/>
    <w:rsid w:val="00C72B96"/>
    <w:rsid w:val="00C72D09"/>
    <w:rsid w:val="00C72D36"/>
    <w:rsid w:val="00C72EA2"/>
    <w:rsid w:val="00C72EBD"/>
    <w:rsid w:val="00C72F03"/>
    <w:rsid w:val="00C7322E"/>
    <w:rsid w:val="00C7338A"/>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3DA"/>
    <w:rsid w:val="00C80530"/>
    <w:rsid w:val="00C8053D"/>
    <w:rsid w:val="00C805B9"/>
    <w:rsid w:val="00C80612"/>
    <w:rsid w:val="00C80766"/>
    <w:rsid w:val="00C809BF"/>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8B2"/>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916"/>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77C"/>
    <w:rsid w:val="00CB78AB"/>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03"/>
    <w:rsid w:val="00CC35A9"/>
    <w:rsid w:val="00CC36DC"/>
    <w:rsid w:val="00CC3B57"/>
    <w:rsid w:val="00CC3CF5"/>
    <w:rsid w:val="00CC4179"/>
    <w:rsid w:val="00CC426D"/>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C7F73"/>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31"/>
    <w:rsid w:val="00CD446D"/>
    <w:rsid w:val="00CD4587"/>
    <w:rsid w:val="00CD47D4"/>
    <w:rsid w:val="00CD48AB"/>
    <w:rsid w:val="00CD48D7"/>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944"/>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020"/>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55C"/>
    <w:rsid w:val="00CE6D34"/>
    <w:rsid w:val="00CE7012"/>
    <w:rsid w:val="00CE71C9"/>
    <w:rsid w:val="00CE7314"/>
    <w:rsid w:val="00CE73F2"/>
    <w:rsid w:val="00CE7426"/>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76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E4A"/>
    <w:rsid w:val="00D05FFF"/>
    <w:rsid w:val="00D06236"/>
    <w:rsid w:val="00D0652C"/>
    <w:rsid w:val="00D06785"/>
    <w:rsid w:val="00D06A3B"/>
    <w:rsid w:val="00D06C03"/>
    <w:rsid w:val="00D06ED5"/>
    <w:rsid w:val="00D06EED"/>
    <w:rsid w:val="00D0734A"/>
    <w:rsid w:val="00D0734B"/>
    <w:rsid w:val="00D073A2"/>
    <w:rsid w:val="00D073B7"/>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C29"/>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04D"/>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3F"/>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9F"/>
    <w:rsid w:val="00D466C6"/>
    <w:rsid w:val="00D46875"/>
    <w:rsid w:val="00D46AF0"/>
    <w:rsid w:val="00D46C89"/>
    <w:rsid w:val="00D47101"/>
    <w:rsid w:val="00D4721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445"/>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E56"/>
    <w:rsid w:val="00D610E6"/>
    <w:rsid w:val="00D61600"/>
    <w:rsid w:val="00D61614"/>
    <w:rsid w:val="00D6171D"/>
    <w:rsid w:val="00D617A9"/>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229"/>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38"/>
    <w:rsid w:val="00D75177"/>
    <w:rsid w:val="00D751E4"/>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B23"/>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38"/>
    <w:rsid w:val="00D80D5E"/>
    <w:rsid w:val="00D80E22"/>
    <w:rsid w:val="00D81231"/>
    <w:rsid w:val="00D8183C"/>
    <w:rsid w:val="00D818A4"/>
    <w:rsid w:val="00D8242C"/>
    <w:rsid w:val="00D827F2"/>
    <w:rsid w:val="00D828A6"/>
    <w:rsid w:val="00D832B9"/>
    <w:rsid w:val="00D83398"/>
    <w:rsid w:val="00D83410"/>
    <w:rsid w:val="00D8348E"/>
    <w:rsid w:val="00D835D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81C"/>
    <w:rsid w:val="00D85942"/>
    <w:rsid w:val="00D85CB6"/>
    <w:rsid w:val="00D8615E"/>
    <w:rsid w:val="00D8623D"/>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7B"/>
    <w:rsid w:val="00D92BEF"/>
    <w:rsid w:val="00D92CCF"/>
    <w:rsid w:val="00D92F56"/>
    <w:rsid w:val="00D931E2"/>
    <w:rsid w:val="00D93719"/>
    <w:rsid w:val="00D939FD"/>
    <w:rsid w:val="00D93A3A"/>
    <w:rsid w:val="00D93B11"/>
    <w:rsid w:val="00D93C24"/>
    <w:rsid w:val="00D94689"/>
    <w:rsid w:val="00D948A7"/>
    <w:rsid w:val="00D94A7F"/>
    <w:rsid w:val="00D94B94"/>
    <w:rsid w:val="00D950A6"/>
    <w:rsid w:val="00D952DD"/>
    <w:rsid w:val="00D953A9"/>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84C"/>
    <w:rsid w:val="00DA79B1"/>
    <w:rsid w:val="00DA7BD2"/>
    <w:rsid w:val="00DA7C9F"/>
    <w:rsid w:val="00DA7D3D"/>
    <w:rsid w:val="00DA7ED7"/>
    <w:rsid w:val="00DB00D5"/>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86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E37"/>
    <w:rsid w:val="00DC4F15"/>
    <w:rsid w:val="00DC4F38"/>
    <w:rsid w:val="00DC4F9B"/>
    <w:rsid w:val="00DC500E"/>
    <w:rsid w:val="00DC53E8"/>
    <w:rsid w:val="00DC54CE"/>
    <w:rsid w:val="00DC558A"/>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8E"/>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BE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A2F"/>
    <w:rsid w:val="00DE4B9F"/>
    <w:rsid w:val="00DE4C0C"/>
    <w:rsid w:val="00DE4EA3"/>
    <w:rsid w:val="00DE502D"/>
    <w:rsid w:val="00DE5388"/>
    <w:rsid w:val="00DE55FC"/>
    <w:rsid w:val="00DE57C4"/>
    <w:rsid w:val="00DE5B92"/>
    <w:rsid w:val="00DE6392"/>
    <w:rsid w:val="00DE6674"/>
    <w:rsid w:val="00DE6796"/>
    <w:rsid w:val="00DE6844"/>
    <w:rsid w:val="00DE6D3A"/>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CE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B6D"/>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E86"/>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B"/>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63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898"/>
    <w:rsid w:val="00E17990"/>
    <w:rsid w:val="00E17C3D"/>
    <w:rsid w:val="00E17CA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D40"/>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A2A"/>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8C0"/>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6DB1"/>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CE4"/>
    <w:rsid w:val="00E61DC9"/>
    <w:rsid w:val="00E62006"/>
    <w:rsid w:val="00E62015"/>
    <w:rsid w:val="00E6236B"/>
    <w:rsid w:val="00E624C5"/>
    <w:rsid w:val="00E6257B"/>
    <w:rsid w:val="00E625B8"/>
    <w:rsid w:val="00E626ED"/>
    <w:rsid w:val="00E62885"/>
    <w:rsid w:val="00E62B42"/>
    <w:rsid w:val="00E62BC8"/>
    <w:rsid w:val="00E62BF9"/>
    <w:rsid w:val="00E62D79"/>
    <w:rsid w:val="00E62DC7"/>
    <w:rsid w:val="00E6312E"/>
    <w:rsid w:val="00E634C5"/>
    <w:rsid w:val="00E63512"/>
    <w:rsid w:val="00E63827"/>
    <w:rsid w:val="00E63A7A"/>
    <w:rsid w:val="00E63BBD"/>
    <w:rsid w:val="00E63F9C"/>
    <w:rsid w:val="00E6403D"/>
    <w:rsid w:val="00E640F5"/>
    <w:rsid w:val="00E641E4"/>
    <w:rsid w:val="00E64318"/>
    <w:rsid w:val="00E6435F"/>
    <w:rsid w:val="00E64413"/>
    <w:rsid w:val="00E644DA"/>
    <w:rsid w:val="00E64634"/>
    <w:rsid w:val="00E64A4A"/>
    <w:rsid w:val="00E64D54"/>
    <w:rsid w:val="00E64FEE"/>
    <w:rsid w:val="00E65220"/>
    <w:rsid w:val="00E6537E"/>
    <w:rsid w:val="00E6564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3B"/>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56"/>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A87"/>
    <w:rsid w:val="00E77248"/>
    <w:rsid w:val="00E77435"/>
    <w:rsid w:val="00E774EA"/>
    <w:rsid w:val="00E7750F"/>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591"/>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B9"/>
    <w:rsid w:val="00E871C7"/>
    <w:rsid w:val="00E87246"/>
    <w:rsid w:val="00E87571"/>
    <w:rsid w:val="00E87686"/>
    <w:rsid w:val="00E87A54"/>
    <w:rsid w:val="00E87B02"/>
    <w:rsid w:val="00E87BC3"/>
    <w:rsid w:val="00E87D9B"/>
    <w:rsid w:val="00E90073"/>
    <w:rsid w:val="00E903DC"/>
    <w:rsid w:val="00E90611"/>
    <w:rsid w:val="00E906AC"/>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F6"/>
    <w:rsid w:val="00E93586"/>
    <w:rsid w:val="00E9383F"/>
    <w:rsid w:val="00E93848"/>
    <w:rsid w:val="00E93881"/>
    <w:rsid w:val="00E939BA"/>
    <w:rsid w:val="00E939E2"/>
    <w:rsid w:val="00E93A3F"/>
    <w:rsid w:val="00E93AEA"/>
    <w:rsid w:val="00E93D87"/>
    <w:rsid w:val="00E93E62"/>
    <w:rsid w:val="00E94035"/>
    <w:rsid w:val="00E940E2"/>
    <w:rsid w:val="00E941AD"/>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4BD"/>
    <w:rsid w:val="00E978A4"/>
    <w:rsid w:val="00E97CA2"/>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8E"/>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D36"/>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12"/>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3D"/>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951"/>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8F"/>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9DD"/>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32B"/>
    <w:rsid w:val="00F22402"/>
    <w:rsid w:val="00F22431"/>
    <w:rsid w:val="00F2256B"/>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0E"/>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1CC"/>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70"/>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8D"/>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5DA"/>
    <w:rsid w:val="00F6772B"/>
    <w:rsid w:val="00F67A31"/>
    <w:rsid w:val="00F67D86"/>
    <w:rsid w:val="00F67E1F"/>
    <w:rsid w:val="00F67EDB"/>
    <w:rsid w:val="00F702E8"/>
    <w:rsid w:val="00F7090E"/>
    <w:rsid w:val="00F70D58"/>
    <w:rsid w:val="00F70DDF"/>
    <w:rsid w:val="00F70EF1"/>
    <w:rsid w:val="00F70F87"/>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65"/>
    <w:rsid w:val="00F757D2"/>
    <w:rsid w:val="00F759C3"/>
    <w:rsid w:val="00F75DBB"/>
    <w:rsid w:val="00F76182"/>
    <w:rsid w:val="00F762BC"/>
    <w:rsid w:val="00F7665A"/>
    <w:rsid w:val="00F76928"/>
    <w:rsid w:val="00F76AAF"/>
    <w:rsid w:val="00F76E6C"/>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3A"/>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15D"/>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22"/>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4F47"/>
    <w:rsid w:val="00F95443"/>
    <w:rsid w:val="00F95532"/>
    <w:rsid w:val="00F95639"/>
    <w:rsid w:val="00F95A22"/>
    <w:rsid w:val="00F95C46"/>
    <w:rsid w:val="00F95E84"/>
    <w:rsid w:val="00F9644F"/>
    <w:rsid w:val="00F9691E"/>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55"/>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A17"/>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E3"/>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1B7"/>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3A9"/>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6E3"/>
    <w:rsid w:val="00FC7844"/>
    <w:rsid w:val="00FC7D4D"/>
    <w:rsid w:val="00FC7E53"/>
    <w:rsid w:val="00FC7EAA"/>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62"/>
    <w:rsid w:val="00FD7F14"/>
    <w:rsid w:val="00FD7FDF"/>
    <w:rsid w:val="00FE009C"/>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17A"/>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6ED"/>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C06BC"/>
    <w:rsid w:val="01550293"/>
    <w:rsid w:val="01EE5E5A"/>
    <w:rsid w:val="021C6695"/>
    <w:rsid w:val="02281D56"/>
    <w:rsid w:val="024261A6"/>
    <w:rsid w:val="026C4FD1"/>
    <w:rsid w:val="02A8425B"/>
    <w:rsid w:val="02DD00D7"/>
    <w:rsid w:val="02E71BBC"/>
    <w:rsid w:val="034F2928"/>
    <w:rsid w:val="03824AAC"/>
    <w:rsid w:val="03F62DA4"/>
    <w:rsid w:val="04722D72"/>
    <w:rsid w:val="04BF7ED8"/>
    <w:rsid w:val="051A2E33"/>
    <w:rsid w:val="052971A9"/>
    <w:rsid w:val="054047EC"/>
    <w:rsid w:val="0576499B"/>
    <w:rsid w:val="058E6B1B"/>
    <w:rsid w:val="05ED6429"/>
    <w:rsid w:val="05FF228E"/>
    <w:rsid w:val="06056087"/>
    <w:rsid w:val="060B5603"/>
    <w:rsid w:val="063E0A32"/>
    <w:rsid w:val="06C06AFB"/>
    <w:rsid w:val="07862E1D"/>
    <w:rsid w:val="078B414B"/>
    <w:rsid w:val="07AB20F7"/>
    <w:rsid w:val="08055CAB"/>
    <w:rsid w:val="083D3697"/>
    <w:rsid w:val="08406218"/>
    <w:rsid w:val="08515D03"/>
    <w:rsid w:val="086D6FD9"/>
    <w:rsid w:val="08AA0601"/>
    <w:rsid w:val="09402DC9"/>
    <w:rsid w:val="09E053D6"/>
    <w:rsid w:val="09F75395"/>
    <w:rsid w:val="0A081EEC"/>
    <w:rsid w:val="0A810F6D"/>
    <w:rsid w:val="0B5379F5"/>
    <w:rsid w:val="0B660C1A"/>
    <w:rsid w:val="0B837613"/>
    <w:rsid w:val="0BA55BCA"/>
    <w:rsid w:val="0C3A4881"/>
    <w:rsid w:val="0C6236CC"/>
    <w:rsid w:val="0C894918"/>
    <w:rsid w:val="0C9242F9"/>
    <w:rsid w:val="0D1554B1"/>
    <w:rsid w:val="0D8C6527"/>
    <w:rsid w:val="0E8D69FB"/>
    <w:rsid w:val="0F1023A0"/>
    <w:rsid w:val="0F16254C"/>
    <w:rsid w:val="0F59495A"/>
    <w:rsid w:val="0F8246A5"/>
    <w:rsid w:val="0F8B691D"/>
    <w:rsid w:val="0F8C18AE"/>
    <w:rsid w:val="101E5B5C"/>
    <w:rsid w:val="10623011"/>
    <w:rsid w:val="10C77FA2"/>
    <w:rsid w:val="1122167C"/>
    <w:rsid w:val="11285CE7"/>
    <w:rsid w:val="121C2B6E"/>
    <w:rsid w:val="122B630F"/>
    <w:rsid w:val="124D44D7"/>
    <w:rsid w:val="12597320"/>
    <w:rsid w:val="128A27D5"/>
    <w:rsid w:val="12CC03AF"/>
    <w:rsid w:val="12DB5F87"/>
    <w:rsid w:val="13027240"/>
    <w:rsid w:val="131123E6"/>
    <w:rsid w:val="13522F37"/>
    <w:rsid w:val="13CE5AEB"/>
    <w:rsid w:val="13D97B5F"/>
    <w:rsid w:val="15542020"/>
    <w:rsid w:val="155C530E"/>
    <w:rsid w:val="15FA4976"/>
    <w:rsid w:val="16013F82"/>
    <w:rsid w:val="165E5465"/>
    <w:rsid w:val="166D15EC"/>
    <w:rsid w:val="16E12CF7"/>
    <w:rsid w:val="172577D0"/>
    <w:rsid w:val="17EC4792"/>
    <w:rsid w:val="17F93E0B"/>
    <w:rsid w:val="18EB7A70"/>
    <w:rsid w:val="18FC7694"/>
    <w:rsid w:val="19437403"/>
    <w:rsid w:val="19466168"/>
    <w:rsid w:val="19926FF3"/>
    <w:rsid w:val="19A319CE"/>
    <w:rsid w:val="1A0173C8"/>
    <w:rsid w:val="1A232A58"/>
    <w:rsid w:val="1A481C43"/>
    <w:rsid w:val="1A6745A4"/>
    <w:rsid w:val="1AAD76B4"/>
    <w:rsid w:val="1B723200"/>
    <w:rsid w:val="1B83149D"/>
    <w:rsid w:val="1B8847D2"/>
    <w:rsid w:val="1C1B73F4"/>
    <w:rsid w:val="1C455CA5"/>
    <w:rsid w:val="1C6C2002"/>
    <w:rsid w:val="1D2C69D2"/>
    <w:rsid w:val="1DC81CDB"/>
    <w:rsid w:val="1DE32193"/>
    <w:rsid w:val="1E672DC4"/>
    <w:rsid w:val="1E697E63"/>
    <w:rsid w:val="1EC86BC5"/>
    <w:rsid w:val="1ED40598"/>
    <w:rsid w:val="1EE619F9"/>
    <w:rsid w:val="1F2B7082"/>
    <w:rsid w:val="1F535C2D"/>
    <w:rsid w:val="1FA0658E"/>
    <w:rsid w:val="20CE0ED9"/>
    <w:rsid w:val="20CE3167"/>
    <w:rsid w:val="210C37AF"/>
    <w:rsid w:val="214B2529"/>
    <w:rsid w:val="217D645B"/>
    <w:rsid w:val="21F229A5"/>
    <w:rsid w:val="22153BE5"/>
    <w:rsid w:val="221A3BFD"/>
    <w:rsid w:val="22326B0B"/>
    <w:rsid w:val="22675C9F"/>
    <w:rsid w:val="226D64CF"/>
    <w:rsid w:val="22AE0FC2"/>
    <w:rsid w:val="22B76683"/>
    <w:rsid w:val="22C31BE5"/>
    <w:rsid w:val="22C407E5"/>
    <w:rsid w:val="22D439BD"/>
    <w:rsid w:val="232474D6"/>
    <w:rsid w:val="238350C7"/>
    <w:rsid w:val="238479F7"/>
    <w:rsid w:val="239E00B4"/>
    <w:rsid w:val="23B24AE2"/>
    <w:rsid w:val="240D3AC6"/>
    <w:rsid w:val="2435171D"/>
    <w:rsid w:val="248904E0"/>
    <w:rsid w:val="24C71225"/>
    <w:rsid w:val="24CD73E5"/>
    <w:rsid w:val="2500187D"/>
    <w:rsid w:val="251E74A4"/>
    <w:rsid w:val="254215B0"/>
    <w:rsid w:val="25485975"/>
    <w:rsid w:val="25876BD0"/>
    <w:rsid w:val="25957022"/>
    <w:rsid w:val="25C6692F"/>
    <w:rsid w:val="265E0B0C"/>
    <w:rsid w:val="270131CC"/>
    <w:rsid w:val="272262E8"/>
    <w:rsid w:val="275531FA"/>
    <w:rsid w:val="276E5B20"/>
    <w:rsid w:val="277B168E"/>
    <w:rsid w:val="27843CE5"/>
    <w:rsid w:val="279F6799"/>
    <w:rsid w:val="27C070A1"/>
    <w:rsid w:val="27F47EB8"/>
    <w:rsid w:val="27FA3E73"/>
    <w:rsid w:val="282D2FD4"/>
    <w:rsid w:val="285223EF"/>
    <w:rsid w:val="287C56BE"/>
    <w:rsid w:val="2895009C"/>
    <w:rsid w:val="28F931A5"/>
    <w:rsid w:val="28FF08B2"/>
    <w:rsid w:val="290F76B1"/>
    <w:rsid w:val="292813A2"/>
    <w:rsid w:val="29DE59F9"/>
    <w:rsid w:val="2A0318BB"/>
    <w:rsid w:val="2A8354A3"/>
    <w:rsid w:val="2A904345"/>
    <w:rsid w:val="2AD96DF8"/>
    <w:rsid w:val="2AF56FD2"/>
    <w:rsid w:val="2B177920"/>
    <w:rsid w:val="2B584216"/>
    <w:rsid w:val="2B5E3B7D"/>
    <w:rsid w:val="2C1F44F8"/>
    <w:rsid w:val="2C253164"/>
    <w:rsid w:val="2C6028BD"/>
    <w:rsid w:val="2C8D04DA"/>
    <w:rsid w:val="2DA04A4C"/>
    <w:rsid w:val="2E705272"/>
    <w:rsid w:val="2ED21461"/>
    <w:rsid w:val="2EDE49DD"/>
    <w:rsid w:val="2F34284F"/>
    <w:rsid w:val="2FB818C1"/>
    <w:rsid w:val="2FD951A4"/>
    <w:rsid w:val="30112B90"/>
    <w:rsid w:val="3018379B"/>
    <w:rsid w:val="305F4C54"/>
    <w:rsid w:val="30773546"/>
    <w:rsid w:val="30EB518F"/>
    <w:rsid w:val="31D75E64"/>
    <w:rsid w:val="320457AA"/>
    <w:rsid w:val="3227669B"/>
    <w:rsid w:val="32513718"/>
    <w:rsid w:val="32612E15"/>
    <w:rsid w:val="32A97FE8"/>
    <w:rsid w:val="32C53D86"/>
    <w:rsid w:val="32EB653A"/>
    <w:rsid w:val="32F61294"/>
    <w:rsid w:val="330344D8"/>
    <w:rsid w:val="33285E3F"/>
    <w:rsid w:val="33E901AB"/>
    <w:rsid w:val="34873898"/>
    <w:rsid w:val="34C208FD"/>
    <w:rsid w:val="34E7572E"/>
    <w:rsid w:val="35037688"/>
    <w:rsid w:val="357C6CFE"/>
    <w:rsid w:val="35B52BF6"/>
    <w:rsid w:val="36132BCC"/>
    <w:rsid w:val="3635030F"/>
    <w:rsid w:val="36514524"/>
    <w:rsid w:val="36637C13"/>
    <w:rsid w:val="366F0610"/>
    <w:rsid w:val="37826121"/>
    <w:rsid w:val="37D050DF"/>
    <w:rsid w:val="37DA41AF"/>
    <w:rsid w:val="37E70D19"/>
    <w:rsid w:val="387877E6"/>
    <w:rsid w:val="38F65019"/>
    <w:rsid w:val="39092BAB"/>
    <w:rsid w:val="394E37C8"/>
    <w:rsid w:val="39787D35"/>
    <w:rsid w:val="398A4199"/>
    <w:rsid w:val="3A563FC1"/>
    <w:rsid w:val="3A810009"/>
    <w:rsid w:val="3AAC3BE1"/>
    <w:rsid w:val="3ADD1FEC"/>
    <w:rsid w:val="3AF86E26"/>
    <w:rsid w:val="3B2D45F6"/>
    <w:rsid w:val="3B3A5EF5"/>
    <w:rsid w:val="3B6E053C"/>
    <w:rsid w:val="3BCB6780"/>
    <w:rsid w:val="3BD17677"/>
    <w:rsid w:val="3C53019B"/>
    <w:rsid w:val="3CFB0E50"/>
    <w:rsid w:val="3D195EAA"/>
    <w:rsid w:val="3D1A468E"/>
    <w:rsid w:val="3D3C5553"/>
    <w:rsid w:val="3D724D4A"/>
    <w:rsid w:val="3D8C5F4C"/>
    <w:rsid w:val="3DA10190"/>
    <w:rsid w:val="3DB337B3"/>
    <w:rsid w:val="3E1659AB"/>
    <w:rsid w:val="3E171CB9"/>
    <w:rsid w:val="3E307815"/>
    <w:rsid w:val="3E9926CE"/>
    <w:rsid w:val="3F435C6B"/>
    <w:rsid w:val="3F850EA5"/>
    <w:rsid w:val="3FBC67F6"/>
    <w:rsid w:val="4012098A"/>
    <w:rsid w:val="41061B71"/>
    <w:rsid w:val="41436921"/>
    <w:rsid w:val="41B7299F"/>
    <w:rsid w:val="421A1D78"/>
    <w:rsid w:val="42293D69"/>
    <w:rsid w:val="429621B7"/>
    <w:rsid w:val="42AB0C22"/>
    <w:rsid w:val="42AE24C0"/>
    <w:rsid w:val="42B555FD"/>
    <w:rsid w:val="42BD55C6"/>
    <w:rsid w:val="42CD0A98"/>
    <w:rsid w:val="42E14644"/>
    <w:rsid w:val="42FA5706"/>
    <w:rsid w:val="431A0C09"/>
    <w:rsid w:val="43596C7D"/>
    <w:rsid w:val="43725D45"/>
    <w:rsid w:val="43DC6E82"/>
    <w:rsid w:val="4415003F"/>
    <w:rsid w:val="441A605F"/>
    <w:rsid w:val="442D70D0"/>
    <w:rsid w:val="44613C8E"/>
    <w:rsid w:val="44CC7BEF"/>
    <w:rsid w:val="44F1484B"/>
    <w:rsid w:val="451D07A6"/>
    <w:rsid w:val="454964D0"/>
    <w:rsid w:val="4588524B"/>
    <w:rsid w:val="46314B6E"/>
    <w:rsid w:val="473C009B"/>
    <w:rsid w:val="47950C47"/>
    <w:rsid w:val="480E2158"/>
    <w:rsid w:val="487E2EFD"/>
    <w:rsid w:val="48C95512"/>
    <w:rsid w:val="48F36A89"/>
    <w:rsid w:val="49997E10"/>
    <w:rsid w:val="49AA39E1"/>
    <w:rsid w:val="4A2D34FF"/>
    <w:rsid w:val="4A484BB9"/>
    <w:rsid w:val="4ADE458A"/>
    <w:rsid w:val="4B271D04"/>
    <w:rsid w:val="4B65373A"/>
    <w:rsid w:val="4BA759E8"/>
    <w:rsid w:val="4BBF74EC"/>
    <w:rsid w:val="4C3E48B5"/>
    <w:rsid w:val="4C617D64"/>
    <w:rsid w:val="4CD81552"/>
    <w:rsid w:val="4D00163A"/>
    <w:rsid w:val="4D112A05"/>
    <w:rsid w:val="4DC917DB"/>
    <w:rsid w:val="4DD72B9A"/>
    <w:rsid w:val="4DF225F6"/>
    <w:rsid w:val="4E155D17"/>
    <w:rsid w:val="4E260795"/>
    <w:rsid w:val="4E3C3076"/>
    <w:rsid w:val="4E4F3CEB"/>
    <w:rsid w:val="4EC866B8"/>
    <w:rsid w:val="4F0F5BE3"/>
    <w:rsid w:val="4FBA6948"/>
    <w:rsid w:val="4FE4016A"/>
    <w:rsid w:val="4FFD7885"/>
    <w:rsid w:val="502C4BEB"/>
    <w:rsid w:val="50483F54"/>
    <w:rsid w:val="509C1DC8"/>
    <w:rsid w:val="51221199"/>
    <w:rsid w:val="517C0CBD"/>
    <w:rsid w:val="51D11D27"/>
    <w:rsid w:val="51DC3AAB"/>
    <w:rsid w:val="52422029"/>
    <w:rsid w:val="52B4767F"/>
    <w:rsid w:val="5341452F"/>
    <w:rsid w:val="535B5D4C"/>
    <w:rsid w:val="53602D69"/>
    <w:rsid w:val="53A05E55"/>
    <w:rsid w:val="53C71634"/>
    <w:rsid w:val="53F74932"/>
    <w:rsid w:val="54372F51"/>
    <w:rsid w:val="547C6E8C"/>
    <w:rsid w:val="5483555B"/>
    <w:rsid w:val="55040901"/>
    <w:rsid w:val="55216B22"/>
    <w:rsid w:val="55342CF9"/>
    <w:rsid w:val="55FA7A9F"/>
    <w:rsid w:val="566D64C3"/>
    <w:rsid w:val="56DF05DE"/>
    <w:rsid w:val="56EE2A94"/>
    <w:rsid w:val="56F70118"/>
    <w:rsid w:val="57BA445E"/>
    <w:rsid w:val="57FC6189"/>
    <w:rsid w:val="581E361B"/>
    <w:rsid w:val="582D4750"/>
    <w:rsid w:val="591946E0"/>
    <w:rsid w:val="59254E33"/>
    <w:rsid w:val="593C3F2A"/>
    <w:rsid w:val="5954396A"/>
    <w:rsid w:val="59BC506B"/>
    <w:rsid w:val="5A2E6681"/>
    <w:rsid w:val="5A6B04BB"/>
    <w:rsid w:val="5A6E2809"/>
    <w:rsid w:val="5A8B4701"/>
    <w:rsid w:val="5B150CF9"/>
    <w:rsid w:val="5B2A416F"/>
    <w:rsid w:val="5C1B251D"/>
    <w:rsid w:val="5C21048E"/>
    <w:rsid w:val="5C71243C"/>
    <w:rsid w:val="5C725F31"/>
    <w:rsid w:val="5CB96F2E"/>
    <w:rsid w:val="5D660A0D"/>
    <w:rsid w:val="5D720862"/>
    <w:rsid w:val="5D7554BF"/>
    <w:rsid w:val="5D9A6108"/>
    <w:rsid w:val="5DF94AE0"/>
    <w:rsid w:val="5E2A6A47"/>
    <w:rsid w:val="5F073306"/>
    <w:rsid w:val="5F090D93"/>
    <w:rsid w:val="5F5F73B9"/>
    <w:rsid w:val="5F702B80"/>
    <w:rsid w:val="5F7D5F3D"/>
    <w:rsid w:val="60194FC5"/>
    <w:rsid w:val="60866FAF"/>
    <w:rsid w:val="608A4105"/>
    <w:rsid w:val="60955A17"/>
    <w:rsid w:val="60AC6035"/>
    <w:rsid w:val="60BF5B6D"/>
    <w:rsid w:val="611B4D6D"/>
    <w:rsid w:val="615A3AE7"/>
    <w:rsid w:val="61632A37"/>
    <w:rsid w:val="6163726A"/>
    <w:rsid w:val="61A60ADB"/>
    <w:rsid w:val="61B054B5"/>
    <w:rsid w:val="627110E9"/>
    <w:rsid w:val="63CE3B8E"/>
    <w:rsid w:val="63F75A4B"/>
    <w:rsid w:val="63FF2724"/>
    <w:rsid w:val="640A35A3"/>
    <w:rsid w:val="64155AE9"/>
    <w:rsid w:val="644A6A0A"/>
    <w:rsid w:val="64A11A59"/>
    <w:rsid w:val="64A70E8F"/>
    <w:rsid w:val="64D15E6F"/>
    <w:rsid w:val="655578D8"/>
    <w:rsid w:val="657A6D3B"/>
    <w:rsid w:val="66265824"/>
    <w:rsid w:val="667C3DE2"/>
    <w:rsid w:val="66980E48"/>
    <w:rsid w:val="66AC4CDD"/>
    <w:rsid w:val="66F127F8"/>
    <w:rsid w:val="675D1C3B"/>
    <w:rsid w:val="67815399"/>
    <w:rsid w:val="67DE7E23"/>
    <w:rsid w:val="680C5410"/>
    <w:rsid w:val="6838144E"/>
    <w:rsid w:val="68833A94"/>
    <w:rsid w:val="68AA7398"/>
    <w:rsid w:val="68F96D6E"/>
    <w:rsid w:val="68FF34BE"/>
    <w:rsid w:val="69043A84"/>
    <w:rsid w:val="69384B4C"/>
    <w:rsid w:val="694A61EF"/>
    <w:rsid w:val="69557902"/>
    <w:rsid w:val="69794D27"/>
    <w:rsid w:val="6994390F"/>
    <w:rsid w:val="69A51678"/>
    <w:rsid w:val="69F1130B"/>
    <w:rsid w:val="6A0B03FA"/>
    <w:rsid w:val="6A18009C"/>
    <w:rsid w:val="6A36038D"/>
    <w:rsid w:val="6A425119"/>
    <w:rsid w:val="6A442502"/>
    <w:rsid w:val="6A957F7D"/>
    <w:rsid w:val="6ADF0BB9"/>
    <w:rsid w:val="6AF177E7"/>
    <w:rsid w:val="6B1A417F"/>
    <w:rsid w:val="6B855C05"/>
    <w:rsid w:val="6BA12A96"/>
    <w:rsid w:val="6BBE4039"/>
    <w:rsid w:val="6BEFABC3"/>
    <w:rsid w:val="6CAF2375"/>
    <w:rsid w:val="6CBF7478"/>
    <w:rsid w:val="6D0B1F8D"/>
    <w:rsid w:val="6D0D1D19"/>
    <w:rsid w:val="6D153134"/>
    <w:rsid w:val="6D7B7340"/>
    <w:rsid w:val="6DF812BC"/>
    <w:rsid w:val="6E122004"/>
    <w:rsid w:val="6E403FFD"/>
    <w:rsid w:val="6E7E6F9A"/>
    <w:rsid w:val="6EBD740B"/>
    <w:rsid w:val="6EC92463"/>
    <w:rsid w:val="6F83245B"/>
    <w:rsid w:val="6F97D24A"/>
    <w:rsid w:val="6FA022A2"/>
    <w:rsid w:val="6FF173C5"/>
    <w:rsid w:val="70587444"/>
    <w:rsid w:val="70657DB3"/>
    <w:rsid w:val="70830080"/>
    <w:rsid w:val="70F33611"/>
    <w:rsid w:val="7148395C"/>
    <w:rsid w:val="71B23A73"/>
    <w:rsid w:val="71B96608"/>
    <w:rsid w:val="71E909FE"/>
    <w:rsid w:val="731A30D6"/>
    <w:rsid w:val="73761DE8"/>
    <w:rsid w:val="73852C46"/>
    <w:rsid w:val="742C597A"/>
    <w:rsid w:val="746254A9"/>
    <w:rsid w:val="74980757"/>
    <w:rsid w:val="75FF0362"/>
    <w:rsid w:val="76171B4F"/>
    <w:rsid w:val="76423BD2"/>
    <w:rsid w:val="76783F89"/>
    <w:rsid w:val="768A40CF"/>
    <w:rsid w:val="773C7ABF"/>
    <w:rsid w:val="773D55E5"/>
    <w:rsid w:val="77B804DD"/>
    <w:rsid w:val="78366976"/>
    <w:rsid w:val="787E0B50"/>
    <w:rsid w:val="789526C1"/>
    <w:rsid w:val="79BE6D35"/>
    <w:rsid w:val="7A06386C"/>
    <w:rsid w:val="7A6B1FA0"/>
    <w:rsid w:val="7AC237C4"/>
    <w:rsid w:val="7B3030BB"/>
    <w:rsid w:val="7BC506FF"/>
    <w:rsid w:val="7C2459DE"/>
    <w:rsid w:val="7CBC0D5A"/>
    <w:rsid w:val="7CE51337"/>
    <w:rsid w:val="7D2735A9"/>
    <w:rsid w:val="7D4A49D8"/>
    <w:rsid w:val="7D5E248C"/>
    <w:rsid w:val="7D724947"/>
    <w:rsid w:val="7DF969B8"/>
    <w:rsid w:val="7ED14F91"/>
    <w:rsid w:val="7F485EDA"/>
    <w:rsid w:val="7F66449E"/>
    <w:rsid w:val="7F97D7F2"/>
    <w:rsid w:val="7FA1330A"/>
    <w:rsid w:val="7FC56178"/>
    <w:rsid w:val="A6FEB8E8"/>
    <w:rsid w:val="B85FDB83"/>
    <w:rsid w:val="C1BF7C39"/>
    <w:rsid w:val="C4BD4666"/>
    <w:rsid w:val="DAF67373"/>
    <w:rsid w:val="DB4FE39D"/>
    <w:rsid w:val="DC7C6527"/>
    <w:rsid w:val="DEE73C2B"/>
    <w:rsid w:val="EBA7250A"/>
    <w:rsid w:val="EDFF1E69"/>
    <w:rsid w:val="EEA778EC"/>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99"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68"/>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7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71"/>
    <w:autoRedefine/>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72"/>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73"/>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74"/>
    <w:autoRedefine/>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5"/>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6"/>
    <w:autoRedefine/>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7"/>
    <w:autoRedefine/>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4">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numPr>
        <w:ilvl w:val="0"/>
        <w:numId w:val="1"/>
      </w:numPr>
      <w:tabs>
        <w:tab w:val="left" w:pos="840"/>
      </w:tabs>
      <w:spacing w:line="360" w:lineRule="auto"/>
      <w:ind w:left="840" w:hanging="420"/>
    </w:pPr>
    <w:rPr>
      <w:rFonts w:ascii="Tahoma" w:hAnsi="Tahoma"/>
      <w:sz w:val="24"/>
      <w:szCs w:val="21"/>
    </w:rPr>
  </w:style>
  <w:style w:type="paragraph" w:styleId="13">
    <w:name w:val="List Number"/>
    <w:basedOn w:val="1"/>
    <w:autoRedefine/>
    <w:qFormat/>
    <w:uiPriority w:val="99"/>
    <w:pPr>
      <w:tabs>
        <w:tab w:val="left" w:pos="360"/>
        <w:tab w:val="left" w:pos="1360"/>
      </w:tabs>
      <w:spacing w:line="360" w:lineRule="auto"/>
      <w:ind w:firstLine="200" w:firstLineChars="200"/>
    </w:pPr>
    <w:rPr>
      <w:rFonts w:ascii="Calibri" w:hAnsi="Calibri"/>
    </w:rPr>
  </w:style>
  <w:style w:type="paragraph" w:styleId="14">
    <w:name w:val="Normal Indent"/>
    <w:basedOn w:val="1"/>
    <w:link w:val="69"/>
    <w:autoRedefine/>
    <w:qFormat/>
    <w:uiPriority w:val="0"/>
    <w:pPr>
      <w:autoSpaceDE w:val="0"/>
      <w:autoSpaceDN w:val="0"/>
      <w:adjustRightInd w:val="0"/>
      <w:ind w:firstLine="420"/>
      <w:jc w:val="left"/>
    </w:pPr>
    <w:rPr>
      <w:rFonts w:ascii="宋体"/>
      <w:sz w:val="24"/>
    </w:rPr>
  </w:style>
  <w:style w:type="paragraph" w:styleId="15">
    <w:name w:val="caption"/>
    <w:basedOn w:val="1"/>
    <w:next w:val="1"/>
    <w:link w:val="78"/>
    <w:autoRedefine/>
    <w:qFormat/>
    <w:uiPriority w:val="35"/>
    <w:pPr>
      <w:spacing w:line="480" w:lineRule="auto"/>
    </w:pPr>
    <w:rPr>
      <w:rFonts w:ascii="华文中宋" w:hAnsi="华文中宋" w:eastAsia="华文中宋"/>
      <w:sz w:val="36"/>
      <w:szCs w:val="20"/>
    </w:rPr>
  </w:style>
  <w:style w:type="paragraph" w:styleId="16">
    <w:name w:val="Document Map"/>
    <w:basedOn w:val="1"/>
    <w:link w:val="79"/>
    <w:autoRedefine/>
    <w:qFormat/>
    <w:uiPriority w:val="99"/>
    <w:pPr>
      <w:shd w:val="clear" w:color="auto" w:fill="000080"/>
    </w:pPr>
  </w:style>
  <w:style w:type="paragraph" w:styleId="17">
    <w:name w:val="annotation text"/>
    <w:basedOn w:val="1"/>
    <w:link w:val="80"/>
    <w:autoRedefine/>
    <w:qFormat/>
    <w:uiPriority w:val="99"/>
    <w:pPr>
      <w:jc w:val="left"/>
    </w:pPr>
  </w:style>
  <w:style w:type="paragraph" w:styleId="18">
    <w:name w:val="Salutation"/>
    <w:basedOn w:val="1"/>
    <w:next w:val="1"/>
    <w:link w:val="295"/>
    <w:autoRedefine/>
    <w:qFormat/>
    <w:uiPriority w:val="0"/>
    <w:rPr>
      <w:szCs w:val="20"/>
    </w:rPr>
  </w:style>
  <w:style w:type="paragraph" w:styleId="19">
    <w:name w:val="Body Text 3"/>
    <w:basedOn w:val="1"/>
    <w:link w:val="81"/>
    <w:autoRedefine/>
    <w:qFormat/>
    <w:uiPriority w:val="0"/>
    <w:pPr>
      <w:spacing w:after="120"/>
    </w:pPr>
    <w:rPr>
      <w:sz w:val="16"/>
      <w:szCs w:val="16"/>
    </w:rPr>
  </w:style>
  <w:style w:type="paragraph" w:styleId="20">
    <w:name w:val="Body Text"/>
    <w:basedOn w:val="1"/>
    <w:link w:val="82"/>
    <w:autoRedefine/>
    <w:qFormat/>
    <w:uiPriority w:val="99"/>
    <w:pPr>
      <w:tabs>
        <w:tab w:val="left" w:pos="567"/>
      </w:tabs>
      <w:spacing w:before="120" w:line="22" w:lineRule="atLeast"/>
    </w:pPr>
    <w:rPr>
      <w:rFonts w:ascii="宋体" w:hAnsi="宋体"/>
      <w:sz w:val="24"/>
    </w:rPr>
  </w:style>
  <w:style w:type="paragraph" w:styleId="21">
    <w:name w:val="Body Text Indent"/>
    <w:basedOn w:val="1"/>
    <w:link w:val="83"/>
    <w:autoRedefine/>
    <w:qFormat/>
    <w:uiPriority w:val="99"/>
    <w:pPr>
      <w:spacing w:line="360" w:lineRule="auto"/>
      <w:ind w:firstLine="570"/>
    </w:pPr>
    <w:rPr>
      <w:sz w:val="24"/>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widowControl/>
      <w:ind w:left="480" w:right="-341" w:firstLine="513"/>
    </w:pPr>
    <w:rPr>
      <w:kern w:val="0"/>
      <w:sz w:val="24"/>
      <w:szCs w:val="20"/>
    </w:rPr>
  </w:style>
  <w:style w:type="paragraph" w:styleId="24">
    <w:name w:val="toc 5"/>
    <w:basedOn w:val="1"/>
    <w:next w:val="1"/>
    <w:autoRedefine/>
    <w:qFormat/>
    <w:uiPriority w:val="0"/>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84"/>
    <w:autoRedefine/>
    <w:qFormat/>
    <w:uiPriority w:val="0"/>
    <w:rPr>
      <w:rFonts w:hint="eastAsia" w:ascii="宋体" w:hAnsi="Courier New"/>
      <w:szCs w:val="20"/>
    </w:rPr>
  </w:style>
  <w:style w:type="paragraph" w:styleId="27">
    <w:name w:val="List Number 4"/>
    <w:basedOn w:val="1"/>
    <w:autoRedefine/>
    <w:qFormat/>
    <w:uiPriority w:val="0"/>
    <w:pPr>
      <w:numPr>
        <w:ilvl w:val="0"/>
        <w:numId w:val="2"/>
      </w:numPr>
      <w:contextualSpacing/>
    </w:pPr>
  </w:style>
  <w:style w:type="paragraph" w:styleId="28">
    <w:name w:val="toc 8"/>
    <w:basedOn w:val="1"/>
    <w:next w:val="1"/>
    <w:autoRedefine/>
    <w:qFormat/>
    <w:uiPriority w:val="0"/>
    <w:pPr>
      <w:ind w:left="2940" w:leftChars="1400"/>
    </w:pPr>
  </w:style>
  <w:style w:type="paragraph" w:styleId="29">
    <w:name w:val="Date"/>
    <w:basedOn w:val="1"/>
    <w:next w:val="1"/>
    <w:link w:val="85"/>
    <w:autoRedefine/>
    <w:qFormat/>
    <w:uiPriority w:val="99"/>
    <w:pPr>
      <w:ind w:left="100" w:leftChars="2500"/>
    </w:pPr>
    <w:rPr>
      <w:rFonts w:ascii="仿宋_GB2312" w:hAnsi="宋体" w:eastAsia="仿宋_GB2312"/>
      <w:color w:val="000000"/>
      <w:sz w:val="24"/>
    </w:rPr>
  </w:style>
  <w:style w:type="paragraph" w:styleId="30">
    <w:name w:val="Body Text Indent 2"/>
    <w:basedOn w:val="1"/>
    <w:link w:val="86"/>
    <w:autoRedefine/>
    <w:qFormat/>
    <w:uiPriority w:val="0"/>
    <w:pPr>
      <w:ind w:firstLine="480" w:firstLineChars="200"/>
    </w:pPr>
    <w:rPr>
      <w:rFonts w:ascii="仿宋_GB2312" w:eastAsia="仿宋_GB2312"/>
      <w:sz w:val="24"/>
    </w:rPr>
  </w:style>
  <w:style w:type="paragraph" w:styleId="31">
    <w:name w:val="Balloon Text"/>
    <w:basedOn w:val="1"/>
    <w:link w:val="87"/>
    <w:autoRedefine/>
    <w:qFormat/>
    <w:uiPriority w:val="99"/>
    <w:rPr>
      <w:sz w:val="18"/>
      <w:szCs w:val="18"/>
    </w:rPr>
  </w:style>
  <w:style w:type="paragraph" w:styleId="32">
    <w:name w:val="footer"/>
    <w:basedOn w:val="1"/>
    <w:link w:val="88"/>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autoRedefine/>
    <w:qFormat/>
    <w:uiPriority w:val="0"/>
    <w:pPr>
      <w:ind w:left="1260" w:leftChars="600"/>
    </w:pPr>
  </w:style>
  <w:style w:type="paragraph" w:styleId="36">
    <w:name w:val="Subtitle"/>
    <w:basedOn w:val="1"/>
    <w:next w:val="1"/>
    <w:link w:val="302"/>
    <w:autoRedefine/>
    <w:qFormat/>
    <w:uiPriority w:val="11"/>
    <w:pPr>
      <w:spacing w:before="240" w:after="60" w:line="312" w:lineRule="auto"/>
      <w:ind w:firstLine="200" w:firstLineChars="200"/>
      <w:jc w:val="left"/>
      <w:outlineLvl w:val="1"/>
    </w:pPr>
    <w:rPr>
      <w:rFonts w:ascii="Cambria" w:hAnsi="Cambria"/>
      <w:b/>
      <w:kern w:val="28"/>
      <w:sz w:val="32"/>
      <w:szCs w:val="20"/>
    </w:rPr>
  </w:style>
  <w:style w:type="paragraph" w:styleId="37">
    <w:name w:val="footnote text"/>
    <w:basedOn w:val="1"/>
    <w:link w:val="303"/>
    <w:autoRedefine/>
    <w:qFormat/>
    <w:uiPriority w:val="0"/>
    <w:pPr>
      <w:snapToGrid w:val="0"/>
      <w:jc w:val="left"/>
    </w:pPr>
    <w:rPr>
      <w:sz w:val="28"/>
      <w:szCs w:val="20"/>
    </w:rPr>
  </w:style>
  <w:style w:type="paragraph" w:styleId="38">
    <w:name w:val="toc 6"/>
    <w:basedOn w:val="1"/>
    <w:next w:val="1"/>
    <w:autoRedefine/>
    <w:qFormat/>
    <w:uiPriority w:val="0"/>
    <w:pPr>
      <w:ind w:left="2100" w:leftChars="1000"/>
    </w:pPr>
  </w:style>
  <w:style w:type="paragraph" w:styleId="39">
    <w:name w:val="Body Text Indent 3"/>
    <w:basedOn w:val="1"/>
    <w:link w:val="90"/>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able of figures"/>
    <w:basedOn w:val="1"/>
    <w:next w:val="1"/>
    <w:autoRedefine/>
    <w:qFormat/>
    <w:uiPriority w:val="99"/>
    <w:pPr>
      <w:ind w:left="420" w:hanging="420"/>
      <w:jc w:val="left"/>
    </w:pPr>
    <w:rPr>
      <w:rFonts w:ascii="Calibri" w:hAnsi="Calibri"/>
      <w:b/>
      <w:sz w:val="20"/>
      <w:szCs w:val="20"/>
    </w:rPr>
  </w:style>
  <w:style w:type="paragraph" w:styleId="41">
    <w:name w:val="toc 2"/>
    <w:basedOn w:val="1"/>
    <w:next w:val="1"/>
    <w:autoRedefine/>
    <w:qFormat/>
    <w:uiPriority w:val="39"/>
    <w:pPr>
      <w:tabs>
        <w:tab w:val="right" w:leader="dot" w:pos="8937"/>
      </w:tabs>
      <w:spacing w:line="312" w:lineRule="auto"/>
      <w:ind w:left="420" w:leftChars="200"/>
    </w:pPr>
  </w:style>
  <w:style w:type="paragraph" w:styleId="42">
    <w:name w:val="toc 9"/>
    <w:basedOn w:val="1"/>
    <w:next w:val="1"/>
    <w:autoRedefine/>
    <w:qFormat/>
    <w:uiPriority w:val="0"/>
    <w:pPr>
      <w:ind w:left="3360" w:leftChars="1600"/>
    </w:pPr>
  </w:style>
  <w:style w:type="paragraph" w:styleId="43">
    <w:name w:val="Body Text 2"/>
    <w:basedOn w:val="1"/>
    <w:link w:val="305"/>
    <w:autoRedefine/>
    <w:qFormat/>
    <w:uiPriority w:val="0"/>
    <w:pPr>
      <w:spacing w:after="120" w:line="480" w:lineRule="auto"/>
    </w:pPr>
    <w:rPr>
      <w:szCs w:val="20"/>
    </w:rPr>
  </w:style>
  <w:style w:type="paragraph" w:styleId="44">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link w:val="92"/>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rPr>
      <w:szCs w:val="20"/>
    </w:rPr>
  </w:style>
  <w:style w:type="paragraph" w:styleId="47">
    <w:name w:val="Title"/>
    <w:basedOn w:val="1"/>
    <w:next w:val="1"/>
    <w:link w:val="93"/>
    <w:autoRedefine/>
    <w:qFormat/>
    <w:uiPriority w:val="10"/>
    <w:pPr>
      <w:jc w:val="center"/>
      <w:outlineLvl w:val="0"/>
    </w:pPr>
    <w:rPr>
      <w:b/>
      <w:sz w:val="32"/>
      <w:szCs w:val="20"/>
    </w:rPr>
  </w:style>
  <w:style w:type="paragraph" w:styleId="48">
    <w:name w:val="annotation subject"/>
    <w:basedOn w:val="17"/>
    <w:next w:val="17"/>
    <w:link w:val="94"/>
    <w:autoRedefine/>
    <w:qFormat/>
    <w:uiPriority w:val="99"/>
    <w:rPr>
      <w:b/>
      <w:bCs/>
    </w:rPr>
  </w:style>
  <w:style w:type="paragraph" w:styleId="49">
    <w:name w:val="Body Text First Indent"/>
    <w:basedOn w:val="20"/>
    <w:link w:val="277"/>
    <w:autoRedefine/>
    <w:unhideWhenUsed/>
    <w:qFormat/>
    <w:uiPriority w:val="99"/>
    <w:pPr>
      <w:tabs>
        <w:tab w:val="clear" w:pos="567"/>
      </w:tabs>
      <w:spacing w:before="0" w:after="120" w:line="240" w:lineRule="auto"/>
      <w:ind w:firstLine="420" w:firstLineChars="100"/>
    </w:pPr>
    <w:rPr>
      <w:rFonts w:ascii="Times New Roman" w:hAnsi="Times New Roman"/>
      <w:sz w:val="21"/>
    </w:rPr>
  </w:style>
  <w:style w:type="paragraph" w:styleId="50">
    <w:name w:val="Body Text First Indent 2"/>
    <w:basedOn w:val="21"/>
    <w:link w:val="95"/>
    <w:autoRedefine/>
    <w:qFormat/>
    <w:uiPriority w:val="99"/>
    <w:pPr>
      <w:spacing w:after="120" w:line="480" w:lineRule="exact"/>
      <w:ind w:left="420" w:leftChars="200" w:firstLine="420" w:firstLineChars="200"/>
    </w:pPr>
    <w:rPr>
      <w:szCs w:val="20"/>
    </w:rPr>
  </w:style>
  <w:style w:type="table" w:styleId="52">
    <w:name w:val="Table Grid"/>
    <w:basedOn w:val="5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Medium Grid 1 Accent 2"/>
    <w:basedOn w:val="51"/>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5">
    <w:name w:val="Strong"/>
    <w:autoRedefine/>
    <w:qFormat/>
    <w:uiPriority w:val="0"/>
    <w:rPr>
      <w:b/>
      <w:bCs/>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20"/>
    <w:rPr>
      <w:color w:val="CC0033"/>
    </w:rPr>
  </w:style>
  <w:style w:type="character" w:styleId="59">
    <w:name w:val="line number"/>
    <w:autoRedefine/>
    <w:qFormat/>
    <w:uiPriority w:val="99"/>
    <w:rPr>
      <w:rFonts w:cs="Times New Roman"/>
    </w:rPr>
  </w:style>
  <w:style w:type="character" w:styleId="60">
    <w:name w:val="HTML Definition"/>
    <w:basedOn w:val="54"/>
    <w:autoRedefine/>
    <w:unhideWhenUsed/>
    <w:qFormat/>
    <w:uiPriority w:val="99"/>
    <w:rPr>
      <w:i/>
    </w:rPr>
  </w:style>
  <w:style w:type="character" w:styleId="61">
    <w:name w:val="Hyperlink"/>
    <w:autoRedefine/>
    <w:qFormat/>
    <w:uiPriority w:val="99"/>
    <w:rPr>
      <w:color w:val="0000FF"/>
      <w:u w:val="single"/>
    </w:rPr>
  </w:style>
  <w:style w:type="character" w:styleId="62">
    <w:name w:val="HTML Code"/>
    <w:basedOn w:val="54"/>
    <w:autoRedefine/>
    <w:unhideWhenUsed/>
    <w:qFormat/>
    <w:uiPriority w:val="99"/>
    <w:rPr>
      <w:rFonts w:hint="default" w:ascii="Consolas" w:hAnsi="Consolas" w:eastAsia="Consolas" w:cs="Consolas"/>
      <w:color w:val="C7254E"/>
      <w:sz w:val="21"/>
      <w:szCs w:val="21"/>
      <w:shd w:val="clear" w:color="auto" w:fill="F9F2F4"/>
    </w:rPr>
  </w:style>
  <w:style w:type="character" w:styleId="63">
    <w:name w:val="annotation reference"/>
    <w:autoRedefine/>
    <w:qFormat/>
    <w:uiPriority w:val="99"/>
    <w:rPr>
      <w:sz w:val="21"/>
      <w:szCs w:val="21"/>
    </w:rPr>
  </w:style>
  <w:style w:type="character" w:styleId="64">
    <w:name w:val="HTML Cite"/>
    <w:autoRedefine/>
    <w:qFormat/>
    <w:uiPriority w:val="99"/>
    <w:rPr>
      <w:i/>
      <w:iCs/>
    </w:rPr>
  </w:style>
  <w:style w:type="character" w:styleId="65">
    <w:name w:val="footnote reference"/>
    <w:autoRedefine/>
    <w:qFormat/>
    <w:uiPriority w:val="0"/>
    <w:rPr>
      <w:vertAlign w:val="superscript"/>
    </w:rPr>
  </w:style>
  <w:style w:type="character" w:styleId="66">
    <w:name w:val="HTML Keyboard"/>
    <w:basedOn w:val="54"/>
    <w:autoRedefine/>
    <w:unhideWhenUsed/>
    <w:qFormat/>
    <w:uiPriority w:val="99"/>
    <w:rPr>
      <w:rFonts w:hint="default" w:ascii="Consolas" w:hAnsi="Consolas" w:eastAsia="Consolas" w:cs="Consolas"/>
      <w:color w:val="FFFFFF"/>
      <w:sz w:val="21"/>
      <w:szCs w:val="21"/>
      <w:shd w:val="clear" w:color="auto" w:fill="333333"/>
    </w:rPr>
  </w:style>
  <w:style w:type="character" w:styleId="67">
    <w:name w:val="HTML Sample"/>
    <w:basedOn w:val="54"/>
    <w:autoRedefine/>
    <w:unhideWhenUsed/>
    <w:qFormat/>
    <w:uiPriority w:val="99"/>
    <w:rPr>
      <w:rFonts w:ascii="Consolas" w:hAnsi="Consolas" w:eastAsia="Consolas" w:cs="Consolas"/>
      <w:sz w:val="21"/>
      <w:szCs w:val="21"/>
    </w:rPr>
  </w:style>
  <w:style w:type="character" w:customStyle="1" w:styleId="68">
    <w:name w:val="标题 1 字符"/>
    <w:link w:val="2"/>
    <w:autoRedefine/>
    <w:qFormat/>
    <w:uiPriority w:val="9"/>
    <w:rPr>
      <w:rFonts w:ascii="宋体"/>
      <w:b/>
      <w:kern w:val="44"/>
      <w:sz w:val="32"/>
    </w:rPr>
  </w:style>
  <w:style w:type="character" w:customStyle="1" w:styleId="69">
    <w:name w:val="正文缩进 字符"/>
    <w:link w:val="14"/>
    <w:autoRedefine/>
    <w:qFormat/>
    <w:uiPriority w:val="0"/>
    <w:rPr>
      <w:rFonts w:ascii="宋体" w:eastAsia="宋体"/>
      <w:kern w:val="2"/>
      <w:sz w:val="24"/>
      <w:szCs w:val="24"/>
      <w:lang w:val="en-US" w:eastAsia="zh-CN" w:bidi="ar-SA"/>
    </w:rPr>
  </w:style>
  <w:style w:type="character" w:customStyle="1" w:styleId="70">
    <w:name w:val="标题 2 字符"/>
    <w:link w:val="3"/>
    <w:autoRedefine/>
    <w:qFormat/>
    <w:uiPriority w:val="0"/>
    <w:rPr>
      <w:rFonts w:ascii="Arial" w:hAnsi="Arial" w:eastAsia="黑体"/>
      <w:b/>
      <w:sz w:val="30"/>
      <w:lang w:val="en-US" w:eastAsia="zh-CN" w:bidi="ar-SA"/>
    </w:rPr>
  </w:style>
  <w:style w:type="character" w:customStyle="1" w:styleId="71">
    <w:name w:val="标题 3 字符"/>
    <w:link w:val="4"/>
    <w:autoRedefine/>
    <w:qFormat/>
    <w:uiPriority w:val="9"/>
    <w:rPr>
      <w:rFonts w:ascii="宋体" w:eastAsia="宋体"/>
      <w:b/>
      <w:sz w:val="24"/>
      <w:u w:val="single"/>
      <w:lang w:val="en-US" w:eastAsia="zh-CN" w:bidi="ar-SA"/>
    </w:rPr>
  </w:style>
  <w:style w:type="character" w:customStyle="1" w:styleId="72">
    <w:name w:val="标题 4 字符"/>
    <w:link w:val="5"/>
    <w:autoRedefine/>
    <w:qFormat/>
    <w:uiPriority w:val="0"/>
    <w:rPr>
      <w:rFonts w:ascii="Arial" w:hAnsi="Arial" w:eastAsia="黑体"/>
      <w:b/>
      <w:sz w:val="28"/>
    </w:rPr>
  </w:style>
  <w:style w:type="character" w:customStyle="1" w:styleId="73">
    <w:name w:val="标题 5 字符"/>
    <w:link w:val="6"/>
    <w:autoRedefine/>
    <w:qFormat/>
    <w:uiPriority w:val="0"/>
    <w:rPr>
      <w:b/>
      <w:sz w:val="28"/>
    </w:rPr>
  </w:style>
  <w:style w:type="character" w:customStyle="1" w:styleId="74">
    <w:name w:val="标题 6 字符"/>
    <w:link w:val="7"/>
    <w:autoRedefine/>
    <w:qFormat/>
    <w:uiPriority w:val="9"/>
    <w:rPr>
      <w:rFonts w:ascii="Arial" w:hAnsi="Arial" w:eastAsia="黑体"/>
      <w:b/>
      <w:sz w:val="24"/>
    </w:rPr>
  </w:style>
  <w:style w:type="character" w:customStyle="1" w:styleId="75">
    <w:name w:val="标题 7 字符"/>
    <w:link w:val="8"/>
    <w:autoRedefine/>
    <w:qFormat/>
    <w:uiPriority w:val="0"/>
    <w:rPr>
      <w:b/>
      <w:sz w:val="24"/>
    </w:rPr>
  </w:style>
  <w:style w:type="character" w:customStyle="1" w:styleId="76">
    <w:name w:val="标题 8 字符"/>
    <w:link w:val="9"/>
    <w:autoRedefine/>
    <w:qFormat/>
    <w:uiPriority w:val="9"/>
    <w:rPr>
      <w:rFonts w:ascii="Arial" w:hAnsi="Arial" w:eastAsia="黑体"/>
      <w:sz w:val="24"/>
    </w:rPr>
  </w:style>
  <w:style w:type="character" w:customStyle="1" w:styleId="77">
    <w:name w:val="标题 9 字符"/>
    <w:link w:val="10"/>
    <w:autoRedefine/>
    <w:qFormat/>
    <w:uiPriority w:val="9"/>
    <w:rPr>
      <w:rFonts w:ascii="Arial" w:hAnsi="Arial" w:eastAsia="黑体"/>
      <w:sz w:val="21"/>
    </w:rPr>
  </w:style>
  <w:style w:type="character" w:customStyle="1" w:styleId="78">
    <w:name w:val="题注 字符"/>
    <w:link w:val="15"/>
    <w:autoRedefine/>
    <w:qFormat/>
    <w:locked/>
    <w:uiPriority w:val="35"/>
    <w:rPr>
      <w:rFonts w:ascii="华文中宋" w:hAnsi="华文中宋" w:eastAsia="华文中宋"/>
      <w:kern w:val="2"/>
      <w:sz w:val="36"/>
    </w:rPr>
  </w:style>
  <w:style w:type="character" w:customStyle="1" w:styleId="79">
    <w:name w:val="文档结构图 字符"/>
    <w:link w:val="16"/>
    <w:autoRedefine/>
    <w:qFormat/>
    <w:uiPriority w:val="99"/>
    <w:rPr>
      <w:kern w:val="2"/>
      <w:sz w:val="21"/>
      <w:szCs w:val="24"/>
      <w:shd w:val="clear" w:color="auto" w:fill="000080"/>
    </w:rPr>
  </w:style>
  <w:style w:type="character" w:customStyle="1" w:styleId="80">
    <w:name w:val="批注文字 字符1"/>
    <w:link w:val="17"/>
    <w:autoRedefine/>
    <w:qFormat/>
    <w:uiPriority w:val="99"/>
    <w:rPr>
      <w:kern w:val="2"/>
      <w:sz w:val="21"/>
      <w:szCs w:val="24"/>
    </w:rPr>
  </w:style>
  <w:style w:type="character" w:customStyle="1" w:styleId="81">
    <w:name w:val="正文文本 3 字符"/>
    <w:link w:val="19"/>
    <w:autoRedefine/>
    <w:qFormat/>
    <w:uiPriority w:val="0"/>
    <w:rPr>
      <w:kern w:val="2"/>
      <w:sz w:val="16"/>
      <w:szCs w:val="16"/>
    </w:rPr>
  </w:style>
  <w:style w:type="character" w:customStyle="1" w:styleId="82">
    <w:name w:val="正文文本 字符"/>
    <w:link w:val="20"/>
    <w:autoRedefine/>
    <w:qFormat/>
    <w:uiPriority w:val="99"/>
    <w:rPr>
      <w:rFonts w:ascii="宋体" w:hAnsi="宋体"/>
      <w:kern w:val="2"/>
      <w:sz w:val="24"/>
      <w:szCs w:val="24"/>
    </w:rPr>
  </w:style>
  <w:style w:type="character" w:customStyle="1" w:styleId="83">
    <w:name w:val="正文文本缩进 字符"/>
    <w:link w:val="21"/>
    <w:autoRedefine/>
    <w:qFormat/>
    <w:uiPriority w:val="99"/>
    <w:rPr>
      <w:rFonts w:eastAsia="宋体"/>
      <w:kern w:val="2"/>
      <w:sz w:val="24"/>
      <w:szCs w:val="24"/>
      <w:lang w:val="en-US" w:eastAsia="zh-CN" w:bidi="ar-SA"/>
    </w:rPr>
  </w:style>
  <w:style w:type="character" w:customStyle="1" w:styleId="84">
    <w:name w:val="纯文本 字符2"/>
    <w:link w:val="26"/>
    <w:autoRedefine/>
    <w:qFormat/>
    <w:uiPriority w:val="99"/>
    <w:rPr>
      <w:rFonts w:hint="eastAsia" w:ascii="宋体" w:hAnsi="Courier New" w:eastAsia="宋体" w:cs="宋体"/>
      <w:kern w:val="2"/>
      <w:sz w:val="21"/>
    </w:rPr>
  </w:style>
  <w:style w:type="character" w:customStyle="1" w:styleId="85">
    <w:name w:val="日期 字符"/>
    <w:link w:val="29"/>
    <w:autoRedefine/>
    <w:qFormat/>
    <w:uiPriority w:val="99"/>
    <w:rPr>
      <w:rFonts w:ascii="仿宋_GB2312" w:hAnsi="宋体" w:eastAsia="仿宋_GB2312"/>
      <w:color w:val="000000"/>
      <w:kern w:val="2"/>
      <w:sz w:val="24"/>
      <w:szCs w:val="24"/>
    </w:rPr>
  </w:style>
  <w:style w:type="character" w:customStyle="1" w:styleId="86">
    <w:name w:val="正文文本缩进 2 字符"/>
    <w:link w:val="30"/>
    <w:autoRedefine/>
    <w:qFormat/>
    <w:uiPriority w:val="0"/>
    <w:rPr>
      <w:rFonts w:ascii="仿宋_GB2312" w:eastAsia="仿宋_GB2312"/>
      <w:kern w:val="2"/>
      <w:sz w:val="24"/>
      <w:szCs w:val="24"/>
    </w:rPr>
  </w:style>
  <w:style w:type="character" w:customStyle="1" w:styleId="87">
    <w:name w:val="批注框文本 字符"/>
    <w:link w:val="31"/>
    <w:autoRedefine/>
    <w:qFormat/>
    <w:uiPriority w:val="99"/>
    <w:rPr>
      <w:kern w:val="2"/>
      <w:sz w:val="18"/>
      <w:szCs w:val="18"/>
    </w:rPr>
  </w:style>
  <w:style w:type="character" w:customStyle="1" w:styleId="88">
    <w:name w:val="页脚 字符"/>
    <w:link w:val="32"/>
    <w:autoRedefine/>
    <w:qFormat/>
    <w:uiPriority w:val="99"/>
    <w:rPr>
      <w:rFonts w:ascii="宋体" w:eastAsia="宋体"/>
      <w:sz w:val="18"/>
      <w:lang w:val="en-US" w:eastAsia="zh-CN" w:bidi="ar-SA"/>
    </w:rPr>
  </w:style>
  <w:style w:type="character" w:customStyle="1" w:styleId="89">
    <w:name w:val="页眉 字符"/>
    <w:link w:val="33"/>
    <w:autoRedefine/>
    <w:qFormat/>
    <w:uiPriority w:val="99"/>
    <w:rPr>
      <w:rFonts w:eastAsia="宋体"/>
      <w:kern w:val="2"/>
      <w:sz w:val="18"/>
      <w:szCs w:val="18"/>
      <w:lang w:val="en-US" w:eastAsia="zh-CN" w:bidi="ar-SA"/>
    </w:rPr>
  </w:style>
  <w:style w:type="character" w:customStyle="1" w:styleId="90">
    <w:name w:val="正文文本缩进 3 字符"/>
    <w:link w:val="39"/>
    <w:autoRedefine/>
    <w:qFormat/>
    <w:uiPriority w:val="0"/>
    <w:rPr>
      <w:rFonts w:ascii="宋体"/>
      <w:sz w:val="24"/>
    </w:rPr>
  </w:style>
  <w:style w:type="character" w:customStyle="1" w:styleId="91">
    <w:name w:val="HTML 预设格式 字符"/>
    <w:link w:val="44"/>
    <w:autoRedefine/>
    <w:qFormat/>
    <w:uiPriority w:val="0"/>
    <w:rPr>
      <w:rFonts w:ascii="宋体" w:hAnsi="宋体" w:cs="宋体"/>
      <w:sz w:val="24"/>
      <w:szCs w:val="24"/>
    </w:rPr>
  </w:style>
  <w:style w:type="character" w:customStyle="1" w:styleId="92">
    <w:name w:val="普通(网站) 字符"/>
    <w:link w:val="45"/>
    <w:autoRedefine/>
    <w:qFormat/>
    <w:locked/>
    <w:uiPriority w:val="99"/>
    <w:rPr>
      <w:rFonts w:ascii="宋体" w:hAnsi="宋体" w:cs="宋体"/>
      <w:sz w:val="24"/>
      <w:szCs w:val="24"/>
    </w:rPr>
  </w:style>
  <w:style w:type="character" w:customStyle="1" w:styleId="93">
    <w:name w:val="标题 字符"/>
    <w:link w:val="47"/>
    <w:autoRedefine/>
    <w:qFormat/>
    <w:uiPriority w:val="10"/>
    <w:rPr>
      <w:b/>
      <w:kern w:val="2"/>
      <w:sz w:val="32"/>
    </w:rPr>
  </w:style>
  <w:style w:type="character" w:customStyle="1" w:styleId="94">
    <w:name w:val="批注主题 字符"/>
    <w:link w:val="48"/>
    <w:autoRedefine/>
    <w:qFormat/>
    <w:uiPriority w:val="99"/>
    <w:rPr>
      <w:rFonts w:ascii="Times New Roman" w:hAnsi="Times New Roman" w:eastAsia="宋体" w:cs="Times New Roman"/>
      <w:b/>
      <w:bCs/>
      <w:kern w:val="2"/>
      <w:sz w:val="21"/>
      <w:szCs w:val="24"/>
      <w:lang w:val="en-US" w:eastAsia="zh-CN" w:bidi="ar-SA"/>
    </w:rPr>
  </w:style>
  <w:style w:type="character" w:customStyle="1" w:styleId="95">
    <w:name w:val="正文首行缩进 2 字符"/>
    <w:link w:val="50"/>
    <w:autoRedefine/>
    <w:qFormat/>
    <w:uiPriority w:val="99"/>
    <w:rPr>
      <w:rFonts w:eastAsia="宋体"/>
      <w:kern w:val="2"/>
      <w:sz w:val="24"/>
      <w:szCs w:val="24"/>
      <w:lang w:val="en-US" w:eastAsia="zh-CN" w:bidi="ar-SA"/>
    </w:rPr>
  </w:style>
  <w:style w:type="character" w:customStyle="1" w:styleId="96">
    <w:name w:val="批注文字 字符"/>
    <w:autoRedefine/>
    <w:qFormat/>
    <w:uiPriority w:val="99"/>
    <w:rPr>
      <w:rFonts w:ascii="Times New Roman" w:hAnsi="Times New Roman" w:eastAsia="宋体" w:cs="Times New Roman"/>
      <w:sz w:val="24"/>
      <w:lang w:val="en-US" w:eastAsia="zh-CN" w:bidi="ar-SA"/>
    </w:rPr>
  </w:style>
  <w:style w:type="character" w:customStyle="1" w:styleId="97">
    <w:name w:val="c21"/>
    <w:autoRedefine/>
    <w:qFormat/>
    <w:uiPriority w:val="0"/>
    <w:rPr>
      <w:rFonts w:hint="default" w:ascii="ˎ̥" w:hAnsi="ˎ̥"/>
      <w:color w:val="000000"/>
      <w:sz w:val="20"/>
      <w:szCs w:val="20"/>
      <w:u w:val="none"/>
    </w:rPr>
  </w:style>
  <w:style w:type="character" w:customStyle="1" w:styleId="98">
    <w:name w:val="title4"/>
    <w:autoRedefine/>
    <w:qFormat/>
    <w:uiPriority w:val="0"/>
    <w:rPr>
      <w:b/>
      <w:bCs/>
      <w:color w:val="1D87B3"/>
      <w:sz w:val="15"/>
      <w:szCs w:val="15"/>
    </w:rPr>
  </w:style>
  <w:style w:type="character" w:customStyle="1" w:styleId="99">
    <w:name w:val="标题 2 Char Char"/>
    <w:autoRedefine/>
    <w:qFormat/>
    <w:uiPriority w:val="0"/>
    <w:rPr>
      <w:rFonts w:ascii="Arial" w:hAnsi="Arial" w:eastAsia="黑体"/>
      <w:b/>
      <w:bCs/>
      <w:kern w:val="2"/>
      <w:sz w:val="32"/>
      <w:szCs w:val="32"/>
      <w:lang w:val="en-US" w:eastAsia="zh-CN" w:bidi="ar-SA"/>
    </w:rPr>
  </w:style>
  <w:style w:type="character" w:customStyle="1" w:styleId="100">
    <w:name w:val="black1"/>
    <w:autoRedefine/>
    <w:qFormat/>
    <w:uiPriority w:val="0"/>
    <w:rPr>
      <w:color w:val="000000"/>
    </w:rPr>
  </w:style>
  <w:style w:type="character" w:customStyle="1" w:styleId="101">
    <w:name w:val="street-address"/>
    <w:autoRedefine/>
    <w:qFormat/>
    <w:uiPriority w:val="0"/>
  </w:style>
  <w:style w:type="character" w:customStyle="1" w:styleId="102">
    <w:name w:val="locality"/>
    <w:autoRedefine/>
    <w:qFormat/>
    <w:uiPriority w:val="0"/>
  </w:style>
  <w:style w:type="character" w:customStyle="1" w:styleId="103">
    <w:name w:val="正文文本缩进 Char1"/>
    <w:link w:val="104"/>
    <w:autoRedefine/>
    <w:qFormat/>
    <w:uiPriority w:val="0"/>
    <w:rPr>
      <w:rFonts w:ascii="宋体" w:hAnsi="宋体" w:eastAsia="宋体"/>
      <w:sz w:val="24"/>
      <w:szCs w:val="24"/>
      <w:lang w:bidi="ar-SA"/>
    </w:rPr>
  </w:style>
  <w:style w:type="paragraph" w:customStyle="1" w:styleId="104">
    <w:name w:val="正文文本缩进1"/>
    <w:basedOn w:val="1"/>
    <w:link w:val="103"/>
    <w:autoRedefine/>
    <w:qFormat/>
    <w:uiPriority w:val="0"/>
    <w:pPr>
      <w:spacing w:line="480" w:lineRule="exact"/>
      <w:ind w:firstLine="480" w:firstLineChars="200"/>
    </w:pPr>
    <w:rPr>
      <w:rFonts w:ascii="宋体" w:hAnsi="宋体"/>
      <w:kern w:val="0"/>
      <w:sz w:val="24"/>
    </w:rPr>
  </w:style>
  <w:style w:type="character" w:customStyle="1" w:styleId="105">
    <w:name w:val="Char Char11"/>
    <w:autoRedefine/>
    <w:qFormat/>
    <w:uiPriority w:val="0"/>
    <w:rPr>
      <w:rFonts w:ascii="宋体" w:eastAsia="宋体"/>
      <w:b/>
      <w:sz w:val="24"/>
      <w:u w:val="single"/>
      <w:lang w:val="en-US" w:eastAsia="zh-CN" w:bidi="ar-SA"/>
    </w:rPr>
  </w:style>
  <w:style w:type="character" w:customStyle="1" w:styleId="106">
    <w:name w:val="txt"/>
    <w:autoRedefine/>
    <w:qFormat/>
    <w:uiPriority w:val="0"/>
  </w:style>
  <w:style w:type="character" w:customStyle="1" w:styleId="107">
    <w:name w:val="正文缩进 Char Char"/>
    <w:link w:val="108"/>
    <w:autoRedefine/>
    <w:qFormat/>
    <w:uiPriority w:val="0"/>
    <w:rPr>
      <w:rFonts w:ascii="宋体" w:eastAsia="宋体"/>
      <w:snapToGrid w:val="0"/>
      <w:color w:val="000000"/>
      <w:kern w:val="28"/>
      <w:sz w:val="28"/>
      <w:lang w:bidi="ar-SA"/>
    </w:rPr>
  </w:style>
  <w:style w:type="paragraph" w:customStyle="1" w:styleId="108">
    <w:name w:val="正文缩进1"/>
    <w:basedOn w:val="1"/>
    <w:link w:val="107"/>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9">
    <w:name w:val="普通文字1 Char1"/>
    <w:autoRedefine/>
    <w:qFormat/>
    <w:uiPriority w:val="0"/>
    <w:rPr>
      <w:rFonts w:ascii="宋体" w:hAnsi="Courier New" w:eastAsia="宋体"/>
      <w:kern w:val="2"/>
      <w:sz w:val="21"/>
      <w:lang w:val="en-US" w:eastAsia="zh-CN" w:bidi="ar-SA"/>
    </w:rPr>
  </w:style>
  <w:style w:type="character" w:customStyle="1" w:styleId="110">
    <w:name w:val="chanpin1"/>
    <w:autoRedefine/>
    <w:qFormat/>
    <w:uiPriority w:val="0"/>
    <w:rPr>
      <w:rFonts w:hint="default" w:ascii="ˎ̥" w:hAnsi="ˎ̥"/>
      <w:color w:val="000000"/>
      <w:sz w:val="20"/>
      <w:szCs w:val="20"/>
      <w:u w:val="none"/>
    </w:rPr>
  </w:style>
  <w:style w:type="character" w:customStyle="1" w:styleId="111">
    <w:name w:val="列出段落 字符"/>
    <w:link w:val="112"/>
    <w:autoRedefine/>
    <w:qFormat/>
    <w:uiPriority w:val="34"/>
    <w:rPr>
      <w:rFonts w:ascii="Calibri" w:hAnsi="Calibri" w:eastAsia="宋体"/>
      <w:kern w:val="2"/>
      <w:sz w:val="21"/>
      <w:szCs w:val="22"/>
      <w:lang w:val="en-US" w:eastAsia="zh-CN" w:bidi="ar-SA"/>
    </w:rPr>
  </w:style>
  <w:style w:type="paragraph" w:styleId="112">
    <w:name w:val="List Paragraph"/>
    <w:basedOn w:val="1"/>
    <w:link w:val="111"/>
    <w:autoRedefine/>
    <w:qFormat/>
    <w:uiPriority w:val="0"/>
    <w:pPr>
      <w:ind w:firstLine="420" w:firstLineChars="200"/>
    </w:pPr>
    <w:rPr>
      <w:rFonts w:ascii="Calibri" w:hAnsi="Calibri"/>
      <w:szCs w:val="22"/>
    </w:rPr>
  </w:style>
  <w:style w:type="character" w:customStyle="1" w:styleId="113">
    <w:name w:val="标题 3 Char Char"/>
    <w:autoRedefine/>
    <w:qFormat/>
    <w:uiPriority w:val="0"/>
    <w:rPr>
      <w:rFonts w:eastAsia="宋体"/>
      <w:b/>
      <w:bCs/>
      <w:kern w:val="2"/>
      <w:sz w:val="32"/>
      <w:szCs w:val="32"/>
      <w:lang w:val="en-US" w:eastAsia="zh-CN" w:bidi="ar-SA"/>
    </w:rPr>
  </w:style>
  <w:style w:type="character" w:customStyle="1" w:styleId="114">
    <w:name w:val="段1 Char"/>
    <w:autoRedefine/>
    <w:qFormat/>
    <w:uiPriority w:val="0"/>
    <w:rPr>
      <w:rFonts w:ascii="宋体" w:eastAsia="宋体"/>
      <w:sz w:val="24"/>
      <w:lang w:val="en-US" w:eastAsia="zh-CN" w:bidi="ar-SA"/>
    </w:rPr>
  </w:style>
  <w:style w:type="character" w:customStyle="1" w:styleId="115">
    <w:name w:val="chanpin拷贝"/>
    <w:autoRedefine/>
    <w:qFormat/>
    <w:uiPriority w:val="0"/>
  </w:style>
  <w:style w:type="character" w:customStyle="1" w:styleId="116">
    <w:name w:val="纯文本 Char1"/>
    <w:autoRedefine/>
    <w:qFormat/>
    <w:uiPriority w:val="99"/>
    <w:rPr>
      <w:rFonts w:ascii="宋体" w:hAnsi="Courier New" w:eastAsia="宋体"/>
      <w:kern w:val="2"/>
      <w:sz w:val="21"/>
      <w:lang w:val="en-US" w:eastAsia="zh-CN" w:bidi="ar-SA"/>
    </w:rPr>
  </w:style>
  <w:style w:type="character" w:customStyle="1" w:styleId="117">
    <w:name w:val="apple-style-span"/>
    <w:autoRedefine/>
    <w:qFormat/>
    <w:uiPriority w:val="0"/>
    <w:rPr>
      <w:rFonts w:cs="Times New Roman"/>
    </w:rPr>
  </w:style>
  <w:style w:type="paragraph" w:customStyle="1" w:styleId="118">
    <w:name w:val="二级条标题"/>
    <w:basedOn w:val="119"/>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9">
    <w:name w:val="一级条标题"/>
    <w:basedOn w:val="120"/>
    <w:next w:val="1"/>
    <w:autoRedefine/>
    <w:qFormat/>
    <w:uiPriority w:val="0"/>
    <w:pPr>
      <w:numPr>
        <w:ilvl w:val="1"/>
      </w:numPr>
      <w:tabs>
        <w:tab w:val="left" w:pos="360"/>
        <w:tab w:val="left" w:pos="840"/>
      </w:tabs>
      <w:ind w:left="0" w:hanging="840"/>
      <w:outlineLvl w:val="1"/>
    </w:pPr>
  </w:style>
  <w:style w:type="paragraph" w:customStyle="1" w:styleId="120">
    <w:name w:val="章标题"/>
    <w:next w:val="1"/>
    <w:autoRedefine/>
    <w:qFormat/>
    <w:uiPriority w:val="0"/>
    <w:pPr>
      <w:numPr>
        <w:ilvl w:val="0"/>
        <w:numId w:val="3"/>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21">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2">
    <w:name w:val="字元 字元"/>
    <w:basedOn w:val="1"/>
    <w:autoRedefine/>
    <w:qFormat/>
    <w:uiPriority w:val="0"/>
    <w:rPr>
      <w:rFonts w:ascii="Tahoma" w:hAnsi="Tahoma"/>
      <w:sz w:val="24"/>
      <w:szCs w:val="20"/>
    </w:rPr>
  </w:style>
  <w:style w:type="paragraph" w:customStyle="1" w:styleId="123">
    <w:name w:val="Char3 Char Char Char"/>
    <w:basedOn w:val="1"/>
    <w:autoRedefine/>
    <w:qFormat/>
    <w:uiPriority w:val="0"/>
    <w:rPr>
      <w:rFonts w:ascii="Tahoma" w:hAnsi="Tahoma"/>
      <w:sz w:val="24"/>
      <w:szCs w:val="20"/>
    </w:rPr>
  </w:style>
  <w:style w:type="paragraph" w:customStyle="1" w:styleId="12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25">
    <w:name w:val="项目编号2"/>
    <w:basedOn w:val="126"/>
    <w:autoRedefine/>
    <w:qFormat/>
    <w:uiPriority w:val="0"/>
    <w:pPr>
      <w:numPr>
        <w:numId w:val="4"/>
      </w:numPr>
    </w:pPr>
  </w:style>
  <w:style w:type="paragraph" w:customStyle="1" w:styleId="126">
    <w:name w:val="项目编号1"/>
    <w:basedOn w:val="1"/>
    <w:autoRedefine/>
    <w:qFormat/>
    <w:uiPriority w:val="0"/>
    <w:pPr>
      <w:numPr>
        <w:ilvl w:val="0"/>
        <w:numId w:val="5"/>
      </w:numPr>
      <w:spacing w:before="100" w:beforeAutospacing="1" w:after="100" w:afterAutospacing="1" w:line="360" w:lineRule="auto"/>
    </w:pPr>
    <w:rPr>
      <w:sz w:val="24"/>
    </w:rPr>
  </w:style>
  <w:style w:type="paragraph" w:customStyle="1" w:styleId="127">
    <w:name w:val="图中文字"/>
    <w:basedOn w:val="1"/>
    <w:autoRedefine/>
    <w:qFormat/>
    <w:uiPriority w:val="0"/>
    <w:pPr>
      <w:adjustRightInd w:val="0"/>
      <w:snapToGrid w:val="0"/>
      <w:spacing w:line="0" w:lineRule="atLeast"/>
      <w:jc w:val="center"/>
    </w:pPr>
    <w:rPr>
      <w:sz w:val="24"/>
      <w:szCs w:val="20"/>
    </w:rPr>
  </w:style>
  <w:style w:type="paragraph" w:customStyle="1" w:styleId="128">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0">
    <w:name w:val="Char2"/>
    <w:basedOn w:val="1"/>
    <w:autoRedefine/>
    <w:qFormat/>
    <w:uiPriority w:val="0"/>
    <w:rPr>
      <w:rFonts w:ascii="Tahoma" w:hAnsi="Tahoma"/>
      <w:sz w:val="24"/>
      <w:szCs w:val="20"/>
    </w:rPr>
  </w:style>
  <w:style w:type="paragraph" w:customStyle="1" w:styleId="131">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4">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8">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40">
    <w:name w:val="正文列项_数字"/>
    <w:basedOn w:val="1"/>
    <w:autoRedefine/>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4">
    <w:name w:val="font8"/>
    <w:basedOn w:val="1"/>
    <w:autoRedefine/>
    <w:qFormat/>
    <w:uiPriority w:val="0"/>
    <w:pPr>
      <w:widowControl/>
      <w:spacing w:before="100" w:beforeAutospacing="1" w:after="100" w:afterAutospacing="1"/>
      <w:jc w:val="left"/>
    </w:pPr>
    <w:rPr>
      <w:kern w:val="0"/>
      <w:sz w:val="36"/>
      <w:szCs w:val="36"/>
    </w:rPr>
  </w:style>
  <w:style w:type="paragraph" w:customStyle="1" w:styleId="145">
    <w:name w:val="Char"/>
    <w:basedOn w:val="1"/>
    <w:autoRedefine/>
    <w:qFormat/>
    <w:uiPriority w:val="0"/>
    <w:pPr>
      <w:tabs>
        <w:tab w:val="left" w:pos="360"/>
      </w:tabs>
    </w:pPr>
    <w:rPr>
      <w:sz w:val="24"/>
    </w:rPr>
  </w:style>
  <w:style w:type="paragraph" w:customStyle="1" w:styleId="146">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47">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 Char1"/>
    <w:basedOn w:val="16"/>
    <w:autoRedefine/>
    <w:qFormat/>
    <w:uiPriority w:val="0"/>
    <w:rPr>
      <w:rFonts w:ascii="Tahoma" w:hAnsi="Tahoma"/>
      <w:sz w:val="24"/>
    </w:rPr>
  </w:style>
  <w:style w:type="paragraph" w:customStyle="1" w:styleId="1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54">
    <w:name w:val="Char1 Char Char Char1"/>
    <w:basedOn w:val="1"/>
    <w:autoRedefine/>
    <w:qFormat/>
    <w:uiPriority w:val="0"/>
    <w:rPr>
      <w:rFonts w:ascii="Tahoma" w:hAnsi="Tahoma" w:cs="仿宋_GB2312"/>
      <w:sz w:val="24"/>
      <w:szCs w:val="28"/>
    </w:rPr>
  </w:style>
  <w:style w:type="paragraph" w:customStyle="1" w:styleId="155">
    <w:name w:val="四级条标题"/>
    <w:basedOn w:val="156"/>
    <w:next w:val="1"/>
    <w:autoRedefine/>
    <w:qFormat/>
    <w:uiPriority w:val="0"/>
    <w:pPr>
      <w:numPr>
        <w:ilvl w:val="4"/>
      </w:numPr>
      <w:tabs>
        <w:tab w:val="left" w:pos="360"/>
        <w:tab w:val="left" w:pos="840"/>
      </w:tabs>
      <w:ind w:left="0" w:hanging="840"/>
      <w:outlineLvl w:val="4"/>
    </w:pPr>
  </w:style>
  <w:style w:type="paragraph" w:customStyle="1" w:styleId="156">
    <w:name w:val="三级条标题"/>
    <w:basedOn w:val="118"/>
    <w:next w:val="1"/>
    <w:autoRedefine/>
    <w:qFormat/>
    <w:uiPriority w:val="99"/>
    <w:pPr>
      <w:numPr>
        <w:ilvl w:val="3"/>
        <w:numId w:val="3"/>
      </w:numPr>
      <w:ind w:left="0" w:hanging="840"/>
      <w:outlineLvl w:val="3"/>
    </w:pPr>
  </w:style>
  <w:style w:type="paragraph" w:customStyle="1" w:styleId="157">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8">
    <w:name w:val="样式 标题 2 + 宋体 五号 行距: 单倍行距"/>
    <w:basedOn w:val="3"/>
    <w:autoRedefine/>
    <w:qFormat/>
    <w:uiPriority w:val="99"/>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159">
    <w:name w:val="List Paragraph1"/>
    <w:basedOn w:val="1"/>
    <w:autoRedefine/>
    <w:qFormat/>
    <w:uiPriority w:val="34"/>
    <w:pPr>
      <w:ind w:firstLine="420" w:firstLineChars="200"/>
    </w:pPr>
    <w:rPr>
      <w:rFonts w:ascii="Calibri" w:hAnsi="Calibri"/>
      <w:szCs w:val="22"/>
    </w:rPr>
  </w:style>
  <w:style w:type="paragraph" w:customStyle="1" w:styleId="160">
    <w:name w:val="项目符号1"/>
    <w:basedOn w:val="161"/>
    <w:autoRedefine/>
    <w:qFormat/>
    <w:uiPriority w:val="0"/>
    <w:pPr>
      <w:ind w:left="-25" w:firstLine="0"/>
    </w:pPr>
  </w:style>
  <w:style w:type="paragraph" w:customStyle="1" w:styleId="161">
    <w:name w:val="正文文本样式"/>
    <w:basedOn w:val="1"/>
    <w:link w:val="162"/>
    <w:autoRedefine/>
    <w:qFormat/>
    <w:uiPriority w:val="0"/>
    <w:pPr>
      <w:spacing w:line="360" w:lineRule="auto"/>
      <w:ind w:firstLine="482"/>
    </w:pPr>
    <w:rPr>
      <w:rFonts w:cs="宋体"/>
      <w:sz w:val="24"/>
      <w:szCs w:val="20"/>
    </w:rPr>
  </w:style>
  <w:style w:type="character" w:customStyle="1" w:styleId="162">
    <w:name w:val="正文文本样式 Char"/>
    <w:link w:val="161"/>
    <w:autoRedefine/>
    <w:qFormat/>
    <w:uiPriority w:val="0"/>
    <w:rPr>
      <w:rFonts w:cs="宋体"/>
      <w:kern w:val="2"/>
      <w:sz w:val="24"/>
    </w:rPr>
  </w:style>
  <w:style w:type="paragraph" w:customStyle="1" w:styleId="1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五级条标题"/>
    <w:basedOn w:val="155"/>
    <w:next w:val="1"/>
    <w:autoRedefine/>
    <w:qFormat/>
    <w:uiPriority w:val="0"/>
    <w:pPr>
      <w:numPr>
        <w:ilvl w:val="5"/>
      </w:numPr>
      <w:ind w:left="0" w:hanging="840"/>
      <w:outlineLvl w:val="5"/>
    </w:pPr>
  </w:style>
  <w:style w:type="paragraph" w:customStyle="1" w:styleId="16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7">
    <w:name w:val="文档正文"/>
    <w:basedOn w:val="1"/>
    <w:link w:val="168"/>
    <w:autoRedefine/>
    <w:qFormat/>
    <w:uiPriority w:val="0"/>
    <w:pPr>
      <w:snapToGrid w:val="0"/>
      <w:spacing w:before="120" w:after="120" w:line="180" w:lineRule="auto"/>
    </w:pPr>
    <w:rPr>
      <w:rFonts w:ascii="Arial" w:hAnsi="Arial"/>
      <w:szCs w:val="20"/>
    </w:rPr>
  </w:style>
  <w:style w:type="character" w:customStyle="1" w:styleId="168">
    <w:name w:val="文档正文 Char1"/>
    <w:link w:val="167"/>
    <w:autoRedefine/>
    <w:qFormat/>
    <w:uiPriority w:val="0"/>
    <w:rPr>
      <w:rFonts w:ascii="Arial" w:hAnsi="Arial"/>
      <w:kern w:val="2"/>
      <w:sz w:val="21"/>
    </w:rPr>
  </w:style>
  <w:style w:type="paragraph" w:customStyle="1" w:styleId="16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1">
    <w:name w:val="Char Char Char1 Char"/>
    <w:basedOn w:val="1"/>
    <w:autoRedefine/>
    <w:qFormat/>
    <w:uiPriority w:val="0"/>
    <w:rPr>
      <w:rFonts w:ascii="Tahoma" w:hAnsi="Tahoma"/>
      <w:sz w:val="24"/>
      <w:szCs w:val="20"/>
    </w:rPr>
  </w:style>
  <w:style w:type="paragraph" w:customStyle="1" w:styleId="17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3">
    <w:name w:val="1名"/>
    <w:basedOn w:val="1"/>
    <w:autoRedefine/>
    <w:qFormat/>
    <w:uiPriority w:val="0"/>
    <w:pPr>
      <w:numPr>
        <w:ilvl w:val="0"/>
        <w:numId w:val="7"/>
      </w:numPr>
      <w:spacing w:before="120"/>
    </w:pPr>
    <w:rPr>
      <w:rFonts w:ascii="宋体"/>
      <w:sz w:val="28"/>
      <w:szCs w:val="20"/>
    </w:rPr>
  </w:style>
  <w:style w:type="paragraph" w:customStyle="1" w:styleId="17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5">
    <w:name w:val="Char Char Char1 Char1"/>
    <w:basedOn w:val="1"/>
    <w:autoRedefine/>
    <w:qFormat/>
    <w:uiPriority w:val="0"/>
    <w:rPr>
      <w:rFonts w:ascii="Tahoma" w:hAnsi="Tahoma"/>
      <w:sz w:val="24"/>
      <w:szCs w:val="20"/>
    </w:rPr>
  </w:style>
  <w:style w:type="paragraph" w:customStyle="1" w:styleId="176">
    <w:name w:val="Char Char Char Char Char Char Char Char Char Char"/>
    <w:basedOn w:val="1"/>
    <w:autoRedefine/>
    <w:qFormat/>
    <w:uiPriority w:val="0"/>
  </w:style>
  <w:style w:type="paragraph" w:customStyle="1" w:styleId="17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8">
    <w:name w:val="Char1"/>
    <w:basedOn w:val="1"/>
    <w:autoRedefine/>
    <w:qFormat/>
    <w:uiPriority w:val="0"/>
    <w:pPr>
      <w:tabs>
        <w:tab w:val="left" w:pos="360"/>
      </w:tabs>
    </w:pPr>
    <w:rPr>
      <w:sz w:val="24"/>
    </w:rPr>
  </w:style>
  <w:style w:type="paragraph" w:customStyle="1" w:styleId="179">
    <w:name w:val="正文列项_字母"/>
    <w:basedOn w:val="1"/>
    <w:autoRedefine/>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默认段落字体 Para Char Char Char Char"/>
    <w:basedOn w:val="1"/>
    <w:autoRedefine/>
    <w:qFormat/>
    <w:uiPriority w:val="0"/>
    <w:rPr>
      <w:rFonts w:ascii="Arial" w:hAnsi="Arial" w:cs="Arial"/>
      <w:szCs w:val="21"/>
    </w:rPr>
  </w:style>
  <w:style w:type="paragraph" w:customStyle="1" w:styleId="18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6">
    <w:name w:val="Char Char Char"/>
    <w:basedOn w:val="1"/>
    <w:autoRedefine/>
    <w:qFormat/>
    <w:uiPriority w:val="0"/>
    <w:rPr>
      <w:rFonts w:ascii="Tahoma" w:hAnsi="Tahoma"/>
      <w:sz w:val="24"/>
      <w:szCs w:val="20"/>
    </w:rPr>
  </w:style>
  <w:style w:type="paragraph" w:customStyle="1" w:styleId="18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8">
    <w:name w:val="缺省文本"/>
    <w:basedOn w:val="1"/>
    <w:autoRedefine/>
    <w:qFormat/>
    <w:uiPriority w:val="0"/>
    <w:pPr>
      <w:autoSpaceDE w:val="0"/>
      <w:autoSpaceDN w:val="0"/>
      <w:adjustRightInd w:val="0"/>
      <w:jc w:val="left"/>
    </w:pPr>
    <w:rPr>
      <w:kern w:val="0"/>
      <w:sz w:val="24"/>
    </w:rPr>
  </w:style>
  <w:style w:type="paragraph" w:customStyle="1" w:styleId="189">
    <w:name w:val="Char Char Char1"/>
    <w:basedOn w:val="1"/>
    <w:autoRedefine/>
    <w:qFormat/>
    <w:uiPriority w:val="0"/>
    <w:rPr>
      <w:rFonts w:ascii="Tahoma" w:hAnsi="Tahoma"/>
      <w:sz w:val="24"/>
      <w:szCs w:val="20"/>
    </w:rPr>
  </w:style>
  <w:style w:type="paragraph" w:customStyle="1" w:styleId="19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9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2">
    <w:name w:val="样式2"/>
    <w:basedOn w:val="46"/>
    <w:autoRedefine/>
    <w:qFormat/>
    <w:uiPriority w:val="0"/>
    <w:pPr>
      <w:spacing w:line="360" w:lineRule="auto"/>
      <w:jc w:val="center"/>
    </w:pPr>
    <w:rPr>
      <w:sz w:val="24"/>
    </w:rPr>
  </w:style>
  <w:style w:type="paragraph" w:customStyle="1" w:styleId="19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5">
    <w:name w:val="正文 + 楷体_GB2312"/>
    <w:basedOn w:val="1"/>
    <w:autoRedefine/>
    <w:qFormat/>
    <w:uiPriority w:val="0"/>
    <w:pPr>
      <w:widowControl/>
      <w:jc w:val="left"/>
    </w:pPr>
    <w:rPr>
      <w:rFonts w:ascii="楷体_GB2312" w:eastAsia="楷体_GB2312" w:cs="Arial"/>
      <w:kern w:val="0"/>
      <w:sz w:val="24"/>
    </w:rPr>
  </w:style>
  <w:style w:type="paragraph" w:customStyle="1" w:styleId="19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7">
    <w:name w:val="1 Char Char Char Char"/>
    <w:basedOn w:val="1"/>
    <w:autoRedefine/>
    <w:qFormat/>
    <w:uiPriority w:val="0"/>
    <w:rPr>
      <w:rFonts w:ascii="Tahoma" w:hAnsi="Tahoma"/>
      <w:sz w:val="24"/>
      <w:szCs w:val="20"/>
    </w:rPr>
  </w:style>
  <w:style w:type="paragraph" w:customStyle="1" w:styleId="198">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9">
    <w:name w:val="列出段落1"/>
    <w:basedOn w:val="1"/>
    <w:autoRedefine/>
    <w:qFormat/>
    <w:uiPriority w:val="34"/>
    <w:pPr>
      <w:ind w:firstLine="420" w:firstLineChars="200"/>
    </w:pPr>
    <w:rPr>
      <w:rFonts w:ascii="Calibri" w:hAnsi="Calibri"/>
      <w:szCs w:val="22"/>
    </w:rPr>
  </w:style>
  <w:style w:type="paragraph" w:customStyle="1" w:styleId="200">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1">
    <w:name w:val="字元 字元1"/>
    <w:basedOn w:val="1"/>
    <w:autoRedefine/>
    <w:qFormat/>
    <w:uiPriority w:val="0"/>
    <w:rPr>
      <w:rFonts w:ascii="Tahoma" w:hAnsi="Tahoma"/>
      <w:sz w:val="24"/>
      <w:szCs w:val="20"/>
    </w:rPr>
  </w:style>
  <w:style w:type="paragraph" w:customStyle="1" w:styleId="20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03">
    <w:name w:val="项目编号3"/>
    <w:basedOn w:val="161"/>
    <w:autoRedefine/>
    <w:qFormat/>
    <w:uiPriority w:val="0"/>
    <w:pPr>
      <w:numPr>
        <w:ilvl w:val="0"/>
        <w:numId w:val="8"/>
      </w:numPr>
    </w:pPr>
  </w:style>
  <w:style w:type="paragraph" w:customStyle="1" w:styleId="204">
    <w:name w:val="Char21"/>
    <w:basedOn w:val="1"/>
    <w:autoRedefine/>
    <w:qFormat/>
    <w:uiPriority w:val="0"/>
    <w:rPr>
      <w:rFonts w:ascii="Tahoma" w:hAnsi="Tahoma"/>
      <w:sz w:val="24"/>
      <w:szCs w:val="20"/>
    </w:rPr>
  </w:style>
  <w:style w:type="paragraph" w:customStyle="1" w:styleId="205">
    <w:name w:val="表格文字"/>
    <w:basedOn w:val="21"/>
    <w:autoRedefine/>
    <w:qFormat/>
    <w:uiPriority w:val="0"/>
    <w:pPr>
      <w:spacing w:before="20" w:after="20" w:line="240" w:lineRule="auto"/>
      <w:ind w:firstLine="0"/>
    </w:pPr>
    <w:rPr>
      <w:rFonts w:ascii="Century Gothic" w:hAnsi="Century Gothic"/>
      <w:sz w:val="20"/>
      <w:szCs w:val="20"/>
    </w:rPr>
  </w:style>
  <w:style w:type="paragraph" w:customStyle="1" w:styleId="206">
    <w:name w:val="Char Char Char Char Char Char Char Char Char Char1"/>
    <w:basedOn w:val="1"/>
    <w:autoRedefine/>
    <w:qFormat/>
    <w:uiPriority w:val="0"/>
    <w:rPr>
      <w:rFonts w:ascii="宋体" w:hAnsi="宋体" w:cs="Courier New"/>
      <w:sz w:val="32"/>
      <w:szCs w:val="32"/>
    </w:rPr>
  </w:style>
  <w:style w:type="paragraph" w:customStyle="1" w:styleId="207">
    <w:name w:val="正文文本样式 加粗"/>
    <w:basedOn w:val="161"/>
    <w:autoRedefine/>
    <w:qFormat/>
    <w:uiPriority w:val="0"/>
    <w:rPr>
      <w:b/>
    </w:rPr>
  </w:style>
  <w:style w:type="paragraph" w:customStyle="1" w:styleId="208">
    <w:name w:val="Char2 Char Char Char Char Char Char"/>
    <w:basedOn w:val="1"/>
    <w:autoRedefine/>
    <w:qFormat/>
    <w:uiPriority w:val="0"/>
    <w:pPr>
      <w:widowControl/>
      <w:spacing w:line="400" w:lineRule="exact"/>
      <w:jc w:val="center"/>
    </w:pPr>
  </w:style>
  <w:style w:type="paragraph" w:customStyle="1" w:styleId="209">
    <w:name w:val="Char Char4"/>
    <w:basedOn w:val="1"/>
    <w:autoRedefine/>
    <w:qFormat/>
    <w:uiPriority w:val="0"/>
    <w:pPr>
      <w:widowControl/>
      <w:spacing w:line="400" w:lineRule="exact"/>
      <w:jc w:val="center"/>
    </w:pPr>
  </w:style>
  <w:style w:type="paragraph" w:customStyle="1" w:styleId="210">
    <w:name w:val="Char3 Char Char Char1"/>
    <w:basedOn w:val="1"/>
    <w:autoRedefine/>
    <w:qFormat/>
    <w:uiPriority w:val="0"/>
    <w:rPr>
      <w:rFonts w:ascii="Tahoma" w:hAnsi="Tahoma"/>
      <w:sz w:val="24"/>
      <w:szCs w:val="20"/>
    </w:rPr>
  </w:style>
  <w:style w:type="paragraph" w:styleId="21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13">
    <w:name w:val="中等深浅网格 1 - 强调文字颜色 2 Char"/>
    <w:link w:val="214"/>
    <w:autoRedefine/>
    <w:qFormat/>
    <w:uiPriority w:val="0"/>
    <w:rPr>
      <w:kern w:val="2"/>
      <w:sz w:val="21"/>
      <w:szCs w:val="24"/>
      <w:lang w:val="zh-CN" w:eastAsia="zh-CN"/>
    </w:rPr>
  </w:style>
  <w:style w:type="paragraph" w:customStyle="1" w:styleId="214">
    <w:name w:val="1"/>
    <w:link w:val="213"/>
    <w:autoRedefine/>
    <w:qFormat/>
    <w:uiPriority w:val="0"/>
    <w:rPr>
      <w:rFonts w:ascii="Times New Roman" w:hAnsi="Times New Roman" w:eastAsia="宋体" w:cs="Times New Roman"/>
      <w:kern w:val="2"/>
      <w:sz w:val="21"/>
      <w:szCs w:val="24"/>
      <w:lang w:val="zh-CN" w:eastAsia="zh-CN" w:bidi="ar-SA"/>
    </w:rPr>
  </w:style>
  <w:style w:type="paragraph" w:customStyle="1" w:styleId="215">
    <w:name w:val="图文"/>
    <w:basedOn w:val="1"/>
    <w:autoRedefine/>
    <w:qFormat/>
    <w:uiPriority w:val="0"/>
    <w:pPr>
      <w:adjustRightInd w:val="0"/>
      <w:snapToGrid w:val="0"/>
      <w:spacing w:after="50" w:line="360" w:lineRule="auto"/>
    </w:pPr>
    <w:rPr>
      <w:sz w:val="24"/>
    </w:rPr>
  </w:style>
  <w:style w:type="paragraph" w:customStyle="1" w:styleId="216">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17">
    <w:name w:val="正文表格"/>
    <w:basedOn w:val="1"/>
    <w:link w:val="218"/>
    <w:autoRedefine/>
    <w:qFormat/>
    <w:uiPriority w:val="0"/>
    <w:pPr>
      <w:adjustRightInd w:val="0"/>
      <w:snapToGrid w:val="0"/>
      <w:jc w:val="left"/>
    </w:pPr>
    <w:rPr>
      <w:rFonts w:ascii="宋体" w:hAnsi="宋体"/>
      <w:color w:val="000000"/>
      <w:szCs w:val="21"/>
    </w:rPr>
  </w:style>
  <w:style w:type="character" w:customStyle="1" w:styleId="218">
    <w:name w:val="正文表格 Char"/>
    <w:link w:val="217"/>
    <w:autoRedefine/>
    <w:qFormat/>
    <w:uiPriority w:val="0"/>
    <w:rPr>
      <w:rFonts w:ascii="宋体" w:hAnsi="宋体"/>
      <w:color w:val="000000"/>
      <w:kern w:val="2"/>
      <w:sz w:val="21"/>
      <w:szCs w:val="21"/>
    </w:rPr>
  </w:style>
  <w:style w:type="paragraph" w:customStyle="1" w:styleId="219">
    <w:name w:val="正文重点"/>
    <w:basedOn w:val="1"/>
    <w:link w:val="220"/>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20">
    <w:name w:val="正文重点 Char"/>
    <w:link w:val="219"/>
    <w:autoRedefine/>
    <w:qFormat/>
    <w:uiPriority w:val="0"/>
    <w:rPr>
      <w:b/>
      <w:sz w:val="24"/>
    </w:rPr>
  </w:style>
  <w:style w:type="paragraph" w:customStyle="1" w:styleId="221">
    <w:name w:val="标题1-附件"/>
    <w:basedOn w:val="2"/>
    <w:autoRedefine/>
    <w:qFormat/>
    <w:uiPriority w:val="0"/>
    <w:pPr>
      <w:jc w:val="left"/>
    </w:pPr>
    <w:rPr>
      <w:sz w:val="24"/>
      <w:szCs w:val="24"/>
    </w:rPr>
  </w:style>
  <w:style w:type="paragraph" w:customStyle="1" w:styleId="222">
    <w:name w:val="正文小标题"/>
    <w:basedOn w:val="1"/>
    <w:next w:val="14"/>
    <w:link w:val="223"/>
    <w:autoRedefine/>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23">
    <w:name w:val="正文小标题 Char"/>
    <w:link w:val="222"/>
    <w:autoRedefine/>
    <w:qFormat/>
    <w:uiPriority w:val="0"/>
    <w:rPr>
      <w:rFonts w:ascii="宋体" w:hAnsi="宋体"/>
      <w:b/>
      <w:i/>
      <w:color w:val="FF0000"/>
      <w:kern w:val="2"/>
      <w:sz w:val="24"/>
    </w:rPr>
  </w:style>
  <w:style w:type="paragraph" w:customStyle="1" w:styleId="224">
    <w:name w:val="正文大标题"/>
    <w:basedOn w:val="222"/>
    <w:next w:val="14"/>
    <w:link w:val="225"/>
    <w:autoRedefine/>
    <w:qFormat/>
    <w:uiPriority w:val="0"/>
    <w:pPr>
      <w:jc w:val="center"/>
    </w:pPr>
    <w:rPr>
      <w:i w:val="0"/>
      <w:color w:val="000000"/>
      <w:sz w:val="28"/>
      <w:szCs w:val="21"/>
    </w:rPr>
  </w:style>
  <w:style w:type="character" w:customStyle="1" w:styleId="225">
    <w:name w:val="正文大标题 Char"/>
    <w:link w:val="224"/>
    <w:autoRedefine/>
    <w:qFormat/>
    <w:uiPriority w:val="0"/>
    <w:rPr>
      <w:rFonts w:ascii="宋体" w:hAnsi="宋体"/>
      <w:b/>
      <w:color w:val="000000"/>
      <w:kern w:val="2"/>
      <w:sz w:val="28"/>
      <w:szCs w:val="21"/>
    </w:rPr>
  </w:style>
  <w:style w:type="paragraph" w:customStyle="1" w:styleId="226">
    <w:name w:val="注释"/>
    <w:basedOn w:val="1"/>
    <w:link w:val="227"/>
    <w:autoRedefine/>
    <w:qFormat/>
    <w:uiPriority w:val="0"/>
    <w:pPr>
      <w:adjustRightInd w:val="0"/>
      <w:snapToGrid w:val="0"/>
      <w:ind w:left="420" w:hanging="420" w:hangingChars="200"/>
      <w:jc w:val="left"/>
    </w:pPr>
    <w:rPr>
      <w:rFonts w:ascii="宋体" w:hAnsi="宋体"/>
      <w:szCs w:val="21"/>
    </w:rPr>
  </w:style>
  <w:style w:type="character" w:customStyle="1" w:styleId="227">
    <w:name w:val="注释 Char"/>
    <w:link w:val="226"/>
    <w:autoRedefine/>
    <w:qFormat/>
    <w:uiPriority w:val="0"/>
    <w:rPr>
      <w:rFonts w:ascii="宋体" w:hAnsi="宋体"/>
      <w:kern w:val="2"/>
      <w:sz w:val="21"/>
      <w:szCs w:val="21"/>
    </w:rPr>
  </w:style>
  <w:style w:type="paragraph" w:customStyle="1" w:styleId="228">
    <w:name w:val="正文须知-1级"/>
    <w:basedOn w:val="1"/>
    <w:next w:val="1"/>
    <w:autoRedefine/>
    <w:qFormat/>
    <w:uiPriority w:val="0"/>
    <w:pPr>
      <w:numPr>
        <w:ilvl w:val="0"/>
        <w:numId w:val="9"/>
      </w:numPr>
      <w:adjustRightInd w:val="0"/>
      <w:snapToGrid w:val="0"/>
      <w:spacing w:line="300" w:lineRule="auto"/>
    </w:pPr>
    <w:rPr>
      <w:rFonts w:ascii="宋体" w:hAnsi="Calibri"/>
      <w:sz w:val="24"/>
      <w:szCs w:val="21"/>
    </w:rPr>
  </w:style>
  <w:style w:type="paragraph" w:customStyle="1" w:styleId="229">
    <w:name w:val="正文须知-2级"/>
    <w:basedOn w:val="1"/>
    <w:autoRedefine/>
    <w:qFormat/>
    <w:uiPriority w:val="0"/>
    <w:pPr>
      <w:numPr>
        <w:ilvl w:val="1"/>
        <w:numId w:val="9"/>
      </w:numPr>
      <w:adjustRightInd w:val="0"/>
      <w:snapToGrid w:val="0"/>
      <w:spacing w:line="300" w:lineRule="auto"/>
    </w:pPr>
    <w:rPr>
      <w:rFonts w:ascii="宋体" w:hAnsi="Calibri"/>
      <w:sz w:val="24"/>
      <w:szCs w:val="21"/>
    </w:rPr>
  </w:style>
  <w:style w:type="paragraph" w:customStyle="1" w:styleId="230">
    <w:name w:val="正文须知-3级"/>
    <w:basedOn w:val="1"/>
    <w:autoRedefine/>
    <w:qFormat/>
    <w:uiPriority w:val="0"/>
    <w:pPr>
      <w:numPr>
        <w:ilvl w:val="2"/>
        <w:numId w:val="9"/>
      </w:numPr>
      <w:adjustRightInd w:val="0"/>
      <w:snapToGrid w:val="0"/>
      <w:spacing w:line="300" w:lineRule="auto"/>
      <w:ind w:hanging="355" w:hangingChars="355"/>
    </w:pPr>
    <w:rPr>
      <w:rFonts w:ascii="宋体" w:hAnsi="Calibri"/>
      <w:sz w:val="24"/>
      <w:szCs w:val="21"/>
    </w:rPr>
  </w:style>
  <w:style w:type="character" w:customStyle="1" w:styleId="231">
    <w:name w:val="纯文本 字符"/>
    <w:autoRedefine/>
    <w:qFormat/>
    <w:uiPriority w:val="0"/>
    <w:rPr>
      <w:rFonts w:ascii="宋体" w:hAnsi="Courier New" w:eastAsia="宋体" w:cs="Times New Roman"/>
      <w:kern w:val="2"/>
      <w:sz w:val="21"/>
      <w:szCs w:val="21"/>
      <w:lang w:val="en-US" w:eastAsia="zh-CN" w:bidi="ar-SA"/>
    </w:rPr>
  </w:style>
  <w:style w:type="paragraph" w:customStyle="1" w:styleId="232">
    <w:name w:val="表格1"/>
    <w:basedOn w:val="1"/>
    <w:autoRedefine/>
    <w:qFormat/>
    <w:uiPriority w:val="0"/>
    <w:pPr>
      <w:ind w:firstLine="480" w:firstLineChars="200"/>
      <w:jc w:val="center"/>
    </w:pPr>
    <w:rPr>
      <w:sz w:val="24"/>
      <w:szCs w:val="20"/>
    </w:rPr>
  </w:style>
  <w:style w:type="character" w:customStyle="1" w:styleId="233">
    <w:name w:val="纯文本 字符1"/>
    <w:autoRedefine/>
    <w:qFormat/>
    <w:uiPriority w:val="0"/>
    <w:rPr>
      <w:rFonts w:ascii="宋体" w:hAnsi="Courier New"/>
    </w:rPr>
  </w:style>
  <w:style w:type="character" w:customStyle="1" w:styleId="234">
    <w:name w:val="bjh-p"/>
    <w:autoRedefine/>
    <w:qFormat/>
    <w:uiPriority w:val="0"/>
  </w:style>
  <w:style w:type="paragraph" w:customStyle="1" w:styleId="235">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36">
    <w:name w:val="正文格式 Char"/>
    <w:link w:val="237"/>
    <w:autoRedefine/>
    <w:qFormat/>
    <w:locked/>
    <w:uiPriority w:val="0"/>
    <w:rPr>
      <w:rFonts w:ascii="宋体" w:hAnsi="宋体"/>
      <w:sz w:val="24"/>
      <w:szCs w:val="24"/>
      <w:lang w:val="en-GB"/>
    </w:rPr>
  </w:style>
  <w:style w:type="paragraph" w:customStyle="1" w:styleId="237">
    <w:name w:val="正文格式"/>
    <w:basedOn w:val="1"/>
    <w:link w:val="236"/>
    <w:autoRedefine/>
    <w:qFormat/>
    <w:uiPriority w:val="0"/>
    <w:pPr>
      <w:spacing w:beforeLines="50" w:line="360" w:lineRule="auto"/>
      <w:ind w:firstLine="480" w:firstLineChars="200"/>
    </w:pPr>
    <w:rPr>
      <w:rFonts w:ascii="宋体" w:hAnsi="宋体"/>
      <w:kern w:val="0"/>
      <w:sz w:val="24"/>
      <w:lang w:val="en-GB"/>
    </w:rPr>
  </w:style>
  <w:style w:type="character" w:customStyle="1" w:styleId="238">
    <w:name w:val="标题 3 Char"/>
    <w:autoRedefine/>
    <w:qFormat/>
    <w:uiPriority w:val="9"/>
    <w:rPr>
      <w:rFonts w:ascii="宋体" w:eastAsia="宋体"/>
      <w:b/>
      <w:sz w:val="24"/>
      <w:u w:val="single"/>
      <w:lang w:val="en-US" w:eastAsia="zh-CN" w:bidi="ar-SA"/>
    </w:rPr>
  </w:style>
  <w:style w:type="character" w:customStyle="1" w:styleId="239">
    <w:name w:val="正文缩进 Char"/>
    <w:autoRedefine/>
    <w:qFormat/>
    <w:uiPriority w:val="0"/>
    <w:rPr>
      <w:rFonts w:ascii="宋体" w:eastAsia="宋体"/>
      <w:kern w:val="2"/>
      <w:sz w:val="24"/>
      <w:szCs w:val="24"/>
      <w:lang w:val="en-US" w:eastAsia="zh-CN" w:bidi="ar-SA"/>
    </w:rPr>
  </w:style>
  <w:style w:type="character" w:customStyle="1" w:styleId="240">
    <w:name w:val="Char Char111"/>
    <w:autoRedefine/>
    <w:qFormat/>
    <w:uiPriority w:val="0"/>
    <w:rPr>
      <w:rFonts w:ascii="宋体" w:eastAsia="宋体"/>
      <w:b/>
      <w:sz w:val="24"/>
      <w:u w:val="single"/>
      <w:lang w:val="en-US" w:eastAsia="zh-CN" w:bidi="ar-SA"/>
    </w:rPr>
  </w:style>
  <w:style w:type="character" w:customStyle="1" w:styleId="241">
    <w:name w:val="正文文本缩进 Char"/>
    <w:autoRedefine/>
    <w:qFormat/>
    <w:uiPriority w:val="0"/>
    <w:rPr>
      <w:rFonts w:eastAsia="宋体"/>
      <w:kern w:val="2"/>
      <w:sz w:val="24"/>
      <w:szCs w:val="24"/>
      <w:lang w:val="en-US" w:eastAsia="zh-CN" w:bidi="ar-SA"/>
    </w:rPr>
  </w:style>
  <w:style w:type="character" w:customStyle="1" w:styleId="242">
    <w:name w:val="列出段落 Char"/>
    <w:autoRedefine/>
    <w:qFormat/>
    <w:uiPriority w:val="34"/>
    <w:rPr>
      <w:rFonts w:ascii="Calibri" w:hAnsi="Calibri" w:eastAsia="宋体"/>
      <w:kern w:val="2"/>
      <w:sz w:val="21"/>
      <w:szCs w:val="22"/>
      <w:lang w:val="en-US" w:eastAsia="zh-CN" w:bidi="ar-SA"/>
    </w:rPr>
  </w:style>
  <w:style w:type="character" w:customStyle="1" w:styleId="243">
    <w:name w:val="页眉 Char"/>
    <w:autoRedefine/>
    <w:qFormat/>
    <w:uiPriority w:val="0"/>
    <w:rPr>
      <w:rFonts w:eastAsia="宋体"/>
      <w:kern w:val="2"/>
      <w:sz w:val="18"/>
      <w:szCs w:val="18"/>
      <w:lang w:val="en-US" w:eastAsia="zh-CN" w:bidi="ar-SA"/>
    </w:rPr>
  </w:style>
  <w:style w:type="character" w:customStyle="1" w:styleId="244">
    <w:name w:val="标题 2 Char"/>
    <w:autoRedefine/>
    <w:qFormat/>
    <w:uiPriority w:val="0"/>
    <w:rPr>
      <w:rFonts w:ascii="Arial" w:hAnsi="Arial" w:eastAsia="黑体"/>
      <w:b/>
      <w:sz w:val="30"/>
      <w:lang w:val="en-US" w:eastAsia="zh-CN" w:bidi="ar-SA"/>
    </w:rPr>
  </w:style>
  <w:style w:type="paragraph" w:customStyle="1" w:styleId="245">
    <w:name w:val="字元 字元2"/>
    <w:basedOn w:val="1"/>
    <w:autoRedefine/>
    <w:qFormat/>
    <w:uiPriority w:val="0"/>
    <w:rPr>
      <w:rFonts w:ascii="Tahoma" w:hAnsi="Tahoma"/>
      <w:sz w:val="24"/>
      <w:szCs w:val="20"/>
    </w:rPr>
  </w:style>
  <w:style w:type="paragraph" w:customStyle="1" w:styleId="246">
    <w:name w:val="Char3 Char Char Char2"/>
    <w:basedOn w:val="1"/>
    <w:autoRedefine/>
    <w:qFormat/>
    <w:uiPriority w:val="0"/>
    <w:rPr>
      <w:rFonts w:ascii="Tahoma" w:hAnsi="Tahoma"/>
      <w:sz w:val="24"/>
      <w:szCs w:val="20"/>
    </w:rPr>
  </w:style>
  <w:style w:type="paragraph" w:customStyle="1" w:styleId="247">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48">
    <w:name w:val="Char3"/>
    <w:basedOn w:val="1"/>
    <w:autoRedefine/>
    <w:qFormat/>
    <w:uiPriority w:val="0"/>
    <w:pPr>
      <w:tabs>
        <w:tab w:val="left" w:pos="360"/>
      </w:tabs>
    </w:pPr>
    <w:rPr>
      <w:sz w:val="24"/>
    </w:rPr>
  </w:style>
  <w:style w:type="paragraph" w:customStyle="1" w:styleId="249">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50">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列出段落2"/>
    <w:basedOn w:val="1"/>
    <w:autoRedefine/>
    <w:qFormat/>
    <w:uiPriority w:val="0"/>
    <w:pPr>
      <w:ind w:firstLine="420" w:firstLineChars="200"/>
    </w:pPr>
    <w:rPr>
      <w:rFonts w:ascii="Calibri" w:hAnsi="Calibri"/>
      <w:szCs w:val="22"/>
    </w:rPr>
  </w:style>
  <w:style w:type="paragraph" w:customStyle="1" w:styleId="252">
    <w:name w:val="Char Char Char1 Char2"/>
    <w:basedOn w:val="1"/>
    <w:autoRedefine/>
    <w:qFormat/>
    <w:uiPriority w:val="0"/>
    <w:rPr>
      <w:rFonts w:ascii="Tahoma" w:hAnsi="Tahoma"/>
      <w:sz w:val="24"/>
      <w:szCs w:val="20"/>
    </w:rPr>
  </w:style>
  <w:style w:type="paragraph" w:customStyle="1" w:styleId="253">
    <w:name w:val="Char Char Char2"/>
    <w:basedOn w:val="1"/>
    <w:autoRedefine/>
    <w:qFormat/>
    <w:uiPriority w:val="0"/>
    <w:rPr>
      <w:rFonts w:ascii="Tahoma" w:hAnsi="Tahoma"/>
      <w:sz w:val="24"/>
      <w:szCs w:val="20"/>
    </w:rPr>
  </w:style>
  <w:style w:type="paragraph" w:customStyle="1" w:styleId="254">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55">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5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57">
    <w:name w:val="Char22"/>
    <w:basedOn w:val="1"/>
    <w:autoRedefine/>
    <w:qFormat/>
    <w:uiPriority w:val="0"/>
    <w:rPr>
      <w:rFonts w:ascii="Tahoma" w:hAnsi="Tahoma"/>
      <w:sz w:val="24"/>
      <w:szCs w:val="20"/>
    </w:rPr>
  </w:style>
  <w:style w:type="paragraph" w:customStyle="1" w:styleId="258">
    <w:name w:val="Char Char Char Char Char Char Char Char Char Char2"/>
    <w:basedOn w:val="1"/>
    <w:autoRedefine/>
    <w:qFormat/>
    <w:uiPriority w:val="0"/>
    <w:rPr>
      <w:rFonts w:ascii="宋体" w:hAnsi="宋体" w:cs="Courier New"/>
      <w:sz w:val="32"/>
      <w:szCs w:val="32"/>
    </w:rPr>
  </w:style>
  <w:style w:type="paragraph" w:customStyle="1" w:styleId="259">
    <w:name w:val="Char2 Char Char Char Char Char Char1"/>
    <w:basedOn w:val="1"/>
    <w:autoRedefine/>
    <w:qFormat/>
    <w:uiPriority w:val="0"/>
    <w:pPr>
      <w:widowControl/>
      <w:spacing w:line="400" w:lineRule="exact"/>
      <w:jc w:val="center"/>
    </w:pPr>
  </w:style>
  <w:style w:type="character" w:customStyle="1" w:styleId="260">
    <w:name w:val="页脚 Char"/>
    <w:autoRedefine/>
    <w:qFormat/>
    <w:uiPriority w:val="0"/>
    <w:rPr>
      <w:rFonts w:ascii="宋体" w:eastAsia="宋体"/>
      <w:sz w:val="18"/>
      <w:lang w:val="en-US" w:eastAsia="zh-CN" w:bidi="ar-SA"/>
    </w:rPr>
  </w:style>
  <w:style w:type="paragraph" w:customStyle="1" w:styleId="261">
    <w:name w:val="Char Char41"/>
    <w:basedOn w:val="1"/>
    <w:autoRedefine/>
    <w:qFormat/>
    <w:uiPriority w:val="0"/>
    <w:pPr>
      <w:widowControl/>
      <w:spacing w:line="400" w:lineRule="exact"/>
      <w:jc w:val="center"/>
    </w:pPr>
  </w:style>
  <w:style w:type="character" w:customStyle="1" w:styleId="262">
    <w:name w:val="批注文字 Char"/>
    <w:autoRedefine/>
    <w:qFormat/>
    <w:uiPriority w:val="99"/>
    <w:rPr>
      <w:kern w:val="2"/>
      <w:sz w:val="21"/>
      <w:szCs w:val="24"/>
    </w:rPr>
  </w:style>
  <w:style w:type="character" w:customStyle="1" w:styleId="263">
    <w:name w:val="标题 Char"/>
    <w:autoRedefine/>
    <w:qFormat/>
    <w:uiPriority w:val="0"/>
    <w:rPr>
      <w:b/>
      <w:kern w:val="2"/>
      <w:sz w:val="32"/>
    </w:rPr>
  </w:style>
  <w:style w:type="paragraph" w:customStyle="1" w:styleId="264">
    <w:name w:val="图例"/>
    <w:basedOn w:val="1"/>
    <w:autoRedefine/>
    <w:qFormat/>
    <w:uiPriority w:val="0"/>
    <w:pPr>
      <w:spacing w:before="120" w:after="120" w:line="360" w:lineRule="auto"/>
      <w:jc w:val="center"/>
    </w:pPr>
    <w:rPr>
      <w:rFonts w:eastAsia="仿宋_GB2312"/>
      <w:b/>
      <w:sz w:val="24"/>
      <w:szCs w:val="20"/>
    </w:rPr>
  </w:style>
  <w:style w:type="table" w:customStyle="1" w:styleId="265">
    <w:name w:val="Table Normal_0"/>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6">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267">
    <w:name w:val="标题 3 Char3"/>
    <w:autoRedefine/>
    <w:qFormat/>
    <w:uiPriority w:val="0"/>
    <w:rPr>
      <w:rFonts w:ascii="Times New Roman" w:hAnsi="Times New Roman" w:eastAsia="宋体"/>
      <w:sz w:val="24"/>
    </w:rPr>
  </w:style>
  <w:style w:type="character" w:customStyle="1" w:styleId="268">
    <w:name w:val="纯文本 字符3"/>
    <w:autoRedefine/>
    <w:qFormat/>
    <w:uiPriority w:val="99"/>
    <w:rPr>
      <w:rFonts w:ascii="Calibri" w:hAnsi="Calibri" w:eastAsia="宋体" w:cs="Times New Roman"/>
    </w:rPr>
  </w:style>
  <w:style w:type="paragraph" w:customStyle="1" w:styleId="269">
    <w:name w:val="无间隔1"/>
    <w:next w:val="270"/>
    <w:autoRedefine/>
    <w:qFormat/>
    <w:uiPriority w:val="1"/>
    <w:pPr>
      <w:widowControl w:val="0"/>
      <w:ind w:firstLine="2048"/>
      <w:jc w:val="both"/>
    </w:pPr>
    <w:rPr>
      <w:rFonts w:ascii="Times New Roman" w:hAnsi="Times New Roman" w:eastAsia="宋体" w:cs="Times New Roman"/>
      <w:lang w:val="en-US" w:eastAsia="zh-CN" w:bidi="ar-SA"/>
    </w:rPr>
  </w:style>
  <w:style w:type="paragraph" w:customStyle="1" w:styleId="270">
    <w:name w:val="xl138"/>
    <w:basedOn w:val="2"/>
    <w:next w:val="271"/>
    <w:autoRedefine/>
    <w:qFormat/>
    <w:uiPriority w:val="0"/>
    <w:pPr>
      <w:spacing w:before="280" w:after="280" w:line="240" w:lineRule="auto"/>
      <w:ind w:firstLine="4608"/>
    </w:pPr>
  </w:style>
  <w:style w:type="paragraph" w:customStyle="1" w:styleId="271">
    <w:name w:val="xl122"/>
    <w:basedOn w:val="2"/>
    <w:next w:val="272"/>
    <w:autoRedefine/>
    <w:qFormat/>
    <w:uiPriority w:val="0"/>
    <w:pPr>
      <w:spacing w:before="280" w:after="280" w:line="240" w:lineRule="auto"/>
      <w:ind w:firstLine="5632"/>
    </w:pPr>
  </w:style>
  <w:style w:type="paragraph" w:customStyle="1" w:styleId="272">
    <w:name w:val="样式 首行缩进:  0.85 厘米 段前: 6 磅 段后: 6 磅"/>
    <w:basedOn w:val="2"/>
    <w:next w:val="1"/>
    <w:autoRedefine/>
    <w:qFormat/>
    <w:uiPriority w:val="0"/>
    <w:pPr>
      <w:spacing w:before="280" w:after="280"/>
      <w:ind w:left="482" w:firstLine="1024"/>
    </w:pPr>
  </w:style>
  <w:style w:type="paragraph" w:customStyle="1" w:styleId="273">
    <w:name w:val="表格正文"/>
    <w:basedOn w:val="1"/>
    <w:link w:val="274"/>
    <w:autoRedefine/>
    <w:qFormat/>
    <w:uiPriority w:val="0"/>
    <w:pPr>
      <w:tabs>
        <w:tab w:val="left" w:pos="374"/>
      </w:tabs>
      <w:adjustRightInd w:val="0"/>
      <w:snapToGrid w:val="0"/>
      <w:spacing w:line="300" w:lineRule="auto"/>
      <w:ind w:left="374" w:hanging="374"/>
      <w:textAlignment w:val="baseline"/>
    </w:pPr>
    <w:rPr>
      <w:sz w:val="24"/>
    </w:rPr>
  </w:style>
  <w:style w:type="character" w:customStyle="1" w:styleId="274">
    <w:name w:val="表格正文 Char"/>
    <w:link w:val="273"/>
    <w:autoRedefine/>
    <w:qFormat/>
    <w:uiPriority w:val="0"/>
    <w:rPr>
      <w:kern w:val="2"/>
      <w:sz w:val="24"/>
      <w:szCs w:val="24"/>
    </w:rPr>
  </w:style>
  <w:style w:type="paragraph" w:customStyle="1" w:styleId="275">
    <w:name w:val="my正文"/>
    <w:basedOn w:val="1"/>
    <w:link w:val="276"/>
    <w:autoRedefine/>
    <w:qFormat/>
    <w:uiPriority w:val="0"/>
    <w:pPr>
      <w:spacing w:line="360" w:lineRule="auto"/>
      <w:ind w:firstLine="480" w:firstLineChars="200"/>
    </w:pPr>
    <w:rPr>
      <w:sz w:val="24"/>
      <w:szCs w:val="20"/>
    </w:rPr>
  </w:style>
  <w:style w:type="character" w:customStyle="1" w:styleId="276">
    <w:name w:val="my正文 Char"/>
    <w:link w:val="275"/>
    <w:autoRedefine/>
    <w:qFormat/>
    <w:uiPriority w:val="0"/>
    <w:rPr>
      <w:kern w:val="2"/>
      <w:sz w:val="24"/>
    </w:rPr>
  </w:style>
  <w:style w:type="character" w:customStyle="1" w:styleId="277">
    <w:name w:val="正文首行缩进 字符"/>
    <w:basedOn w:val="82"/>
    <w:link w:val="49"/>
    <w:autoRedefine/>
    <w:qFormat/>
    <w:uiPriority w:val="99"/>
    <w:rPr>
      <w:rFonts w:ascii="宋体" w:hAnsi="宋体"/>
      <w:kern w:val="2"/>
      <w:sz w:val="21"/>
      <w:szCs w:val="24"/>
    </w:rPr>
  </w:style>
  <w:style w:type="paragraph" w:customStyle="1" w:styleId="278">
    <w:name w:val="_Style 2"/>
    <w:basedOn w:val="1"/>
    <w:autoRedefine/>
    <w:qFormat/>
    <w:uiPriority w:val="34"/>
    <w:pPr>
      <w:spacing w:line="360" w:lineRule="auto"/>
      <w:ind w:firstLine="420" w:firstLineChars="200"/>
    </w:pPr>
    <w:rPr>
      <w:sz w:val="24"/>
    </w:rPr>
  </w:style>
  <w:style w:type="character" w:customStyle="1" w:styleId="279">
    <w:name w:val="页脚 字符1"/>
    <w:autoRedefine/>
    <w:qFormat/>
    <w:uiPriority w:val="99"/>
    <w:rPr>
      <w:sz w:val="18"/>
    </w:rPr>
  </w:style>
  <w:style w:type="character" w:customStyle="1" w:styleId="280">
    <w:name w:val="列出段落 字符1"/>
    <w:autoRedefine/>
    <w:qFormat/>
    <w:locked/>
    <w:uiPriority w:val="34"/>
    <w:rPr>
      <w:kern w:val="2"/>
      <w:sz w:val="21"/>
    </w:rPr>
  </w:style>
  <w:style w:type="character" w:customStyle="1" w:styleId="281">
    <w:name w:val="正文文本 字符1"/>
    <w:autoRedefine/>
    <w:qFormat/>
    <w:uiPriority w:val="0"/>
    <w:rPr>
      <w:color w:val="000000"/>
      <w:kern w:val="2"/>
      <w:sz w:val="24"/>
    </w:rPr>
  </w:style>
  <w:style w:type="character" w:customStyle="1" w:styleId="282">
    <w:name w:val="标题 1 字符1"/>
    <w:autoRedefine/>
    <w:qFormat/>
    <w:uiPriority w:val="9"/>
    <w:rPr>
      <w:rFonts w:ascii="宋体" w:hAnsi="宋体" w:eastAsia="黑体" w:cs="宋体"/>
      <w:b/>
      <w:kern w:val="44"/>
      <w:sz w:val="32"/>
    </w:rPr>
  </w:style>
  <w:style w:type="character" w:customStyle="1" w:styleId="283">
    <w:name w:val="标题 2 字符2"/>
    <w:autoRedefine/>
    <w:qFormat/>
    <w:uiPriority w:val="9"/>
    <w:rPr>
      <w:rFonts w:ascii="Arial" w:hAnsi="Arial" w:eastAsia="黑体"/>
      <w:b/>
      <w:sz w:val="30"/>
    </w:rPr>
  </w:style>
  <w:style w:type="character" w:customStyle="1" w:styleId="284">
    <w:name w:val="标题 3 字符2"/>
    <w:autoRedefine/>
    <w:qFormat/>
    <w:uiPriority w:val="0"/>
    <w:rPr>
      <w:rFonts w:ascii="宋体" w:hAnsi="宋体" w:eastAsia="宋体" w:cs="宋体"/>
      <w:b/>
      <w:sz w:val="24"/>
      <w:u w:val="none"/>
    </w:rPr>
  </w:style>
  <w:style w:type="character" w:customStyle="1" w:styleId="285">
    <w:name w:val="标题 4 字符1"/>
    <w:autoRedefine/>
    <w:qFormat/>
    <w:uiPriority w:val="0"/>
    <w:rPr>
      <w:b/>
      <w:snapToGrid w:val="0"/>
      <w:color w:val="000000"/>
      <w:kern w:val="2"/>
      <w:sz w:val="28"/>
    </w:rPr>
  </w:style>
  <w:style w:type="character" w:customStyle="1" w:styleId="286">
    <w:name w:val="标题 5 字符1"/>
    <w:autoRedefine/>
    <w:qFormat/>
    <w:uiPriority w:val="0"/>
    <w:rPr>
      <w:b/>
      <w:snapToGrid w:val="0"/>
      <w:color w:val="000000"/>
      <w:kern w:val="2"/>
      <w:sz w:val="28"/>
    </w:rPr>
  </w:style>
  <w:style w:type="character" w:customStyle="1" w:styleId="287">
    <w:name w:val="标题 6 字符1"/>
    <w:autoRedefine/>
    <w:qFormat/>
    <w:uiPriority w:val="9"/>
    <w:rPr>
      <w:rFonts w:ascii="Arial" w:hAnsi="Arial" w:eastAsia="黑体"/>
      <w:b/>
      <w:snapToGrid w:val="0"/>
      <w:color w:val="000000"/>
      <w:kern w:val="2"/>
      <w:sz w:val="24"/>
    </w:rPr>
  </w:style>
  <w:style w:type="character" w:customStyle="1" w:styleId="288">
    <w:name w:val="标题 7 字符1"/>
    <w:autoRedefine/>
    <w:qFormat/>
    <w:uiPriority w:val="0"/>
    <w:rPr>
      <w:kern w:val="2"/>
      <w:sz w:val="28"/>
    </w:rPr>
  </w:style>
  <w:style w:type="character" w:customStyle="1" w:styleId="289">
    <w:name w:val="标题 8 字符1"/>
    <w:autoRedefine/>
    <w:qFormat/>
    <w:uiPriority w:val="0"/>
    <w:rPr>
      <w:kern w:val="2"/>
      <w:sz w:val="28"/>
    </w:rPr>
  </w:style>
  <w:style w:type="character" w:customStyle="1" w:styleId="290">
    <w:name w:val="标题 9 字符1"/>
    <w:autoRedefine/>
    <w:qFormat/>
    <w:uiPriority w:val="0"/>
    <w:rPr>
      <w:kern w:val="2"/>
      <w:sz w:val="28"/>
    </w:rPr>
  </w:style>
  <w:style w:type="character" w:customStyle="1" w:styleId="291">
    <w:name w:val="批注文字 字符2"/>
    <w:autoRedefine/>
    <w:qFormat/>
    <w:uiPriority w:val="99"/>
    <w:rPr>
      <w:kern w:val="2"/>
      <w:sz w:val="21"/>
    </w:rPr>
  </w:style>
  <w:style w:type="character" w:customStyle="1" w:styleId="292">
    <w:name w:val="批注主题 字符2"/>
    <w:autoRedefine/>
    <w:qFormat/>
    <w:uiPriority w:val="99"/>
    <w:rPr>
      <w:b/>
      <w:bCs/>
      <w:kern w:val="2"/>
      <w:sz w:val="21"/>
    </w:rPr>
  </w:style>
  <w:style w:type="character" w:customStyle="1" w:styleId="293">
    <w:name w:val="正文缩进 字符4"/>
    <w:autoRedefine/>
    <w:qFormat/>
    <w:uiPriority w:val="0"/>
    <w:rPr>
      <w:rFonts w:ascii="宋体"/>
      <w:sz w:val="24"/>
    </w:rPr>
  </w:style>
  <w:style w:type="character" w:customStyle="1" w:styleId="294">
    <w:name w:val="文档结构图 字符2"/>
    <w:autoRedefine/>
    <w:qFormat/>
    <w:uiPriority w:val="99"/>
    <w:rPr>
      <w:kern w:val="2"/>
      <w:sz w:val="21"/>
      <w:shd w:val="clear" w:color="auto" w:fill="000080"/>
    </w:rPr>
  </w:style>
  <w:style w:type="character" w:customStyle="1" w:styleId="295">
    <w:name w:val="称呼 字符"/>
    <w:basedOn w:val="54"/>
    <w:link w:val="18"/>
    <w:autoRedefine/>
    <w:qFormat/>
    <w:uiPriority w:val="0"/>
    <w:rPr>
      <w:kern w:val="2"/>
      <w:sz w:val="21"/>
    </w:rPr>
  </w:style>
  <w:style w:type="character" w:customStyle="1" w:styleId="296">
    <w:name w:val="正文文本缩进 字符2"/>
    <w:basedOn w:val="54"/>
    <w:autoRedefine/>
    <w:qFormat/>
    <w:uiPriority w:val="99"/>
    <w:rPr>
      <w:kern w:val="2"/>
      <w:sz w:val="21"/>
    </w:rPr>
  </w:style>
  <w:style w:type="character" w:customStyle="1" w:styleId="297">
    <w:name w:val="日期 字符3"/>
    <w:autoRedefine/>
    <w:qFormat/>
    <w:uiPriority w:val="99"/>
    <w:rPr>
      <w:rFonts w:ascii="Arial" w:hAnsi="Arial"/>
      <w:kern w:val="2"/>
      <w:sz w:val="24"/>
    </w:rPr>
  </w:style>
  <w:style w:type="character" w:customStyle="1" w:styleId="298">
    <w:name w:val="正文文本缩进 2 字符2"/>
    <w:basedOn w:val="54"/>
    <w:autoRedefine/>
    <w:qFormat/>
    <w:uiPriority w:val="0"/>
    <w:rPr>
      <w:kern w:val="2"/>
      <w:sz w:val="21"/>
    </w:rPr>
  </w:style>
  <w:style w:type="character" w:customStyle="1" w:styleId="299">
    <w:name w:val="批注框文本 字符1"/>
    <w:autoRedefine/>
    <w:qFormat/>
    <w:uiPriority w:val="99"/>
    <w:rPr>
      <w:kern w:val="2"/>
      <w:sz w:val="18"/>
      <w:szCs w:val="18"/>
    </w:rPr>
  </w:style>
  <w:style w:type="character" w:customStyle="1" w:styleId="300">
    <w:name w:val="页眉 字符1"/>
    <w:autoRedefine/>
    <w:qFormat/>
    <w:uiPriority w:val="99"/>
    <w:rPr>
      <w:sz w:val="18"/>
    </w:rPr>
  </w:style>
  <w:style w:type="character" w:customStyle="1" w:styleId="301">
    <w:name w:val="副标题 字符2"/>
    <w:autoRedefine/>
    <w:qFormat/>
    <w:uiPriority w:val="11"/>
    <w:rPr>
      <w:rFonts w:ascii="Cambria" w:hAnsi="Cambria"/>
      <w:b/>
      <w:kern w:val="28"/>
      <w:sz w:val="32"/>
    </w:rPr>
  </w:style>
  <w:style w:type="character" w:customStyle="1" w:styleId="302">
    <w:name w:val="副标题 字符"/>
    <w:basedOn w:val="54"/>
    <w:link w:val="36"/>
    <w:autoRedefine/>
    <w:qFormat/>
    <w:uiPriority w:val="11"/>
    <w:rPr>
      <w:rFonts w:asciiTheme="minorHAnsi" w:hAnsiTheme="minorHAnsi" w:eastAsiaTheme="minorEastAsia" w:cstheme="minorBidi"/>
      <w:b/>
      <w:bCs/>
      <w:kern w:val="28"/>
      <w:sz w:val="32"/>
      <w:szCs w:val="32"/>
    </w:rPr>
  </w:style>
  <w:style w:type="character" w:customStyle="1" w:styleId="303">
    <w:name w:val="脚注文本 字符"/>
    <w:basedOn w:val="54"/>
    <w:link w:val="37"/>
    <w:autoRedefine/>
    <w:qFormat/>
    <w:uiPriority w:val="0"/>
    <w:rPr>
      <w:kern w:val="2"/>
      <w:sz w:val="28"/>
    </w:rPr>
  </w:style>
  <w:style w:type="character" w:customStyle="1" w:styleId="304">
    <w:name w:val="正文文本缩进 3 字符2"/>
    <w:basedOn w:val="54"/>
    <w:autoRedefine/>
    <w:qFormat/>
    <w:uiPriority w:val="0"/>
    <w:rPr>
      <w:kern w:val="2"/>
      <w:sz w:val="16"/>
      <w:szCs w:val="16"/>
    </w:rPr>
  </w:style>
  <w:style w:type="character" w:customStyle="1" w:styleId="305">
    <w:name w:val="正文文本 2 字符1"/>
    <w:link w:val="43"/>
    <w:autoRedefine/>
    <w:qFormat/>
    <w:uiPriority w:val="0"/>
    <w:rPr>
      <w:kern w:val="2"/>
      <w:sz w:val="21"/>
    </w:rPr>
  </w:style>
  <w:style w:type="character" w:customStyle="1" w:styleId="306">
    <w:name w:val="正文文本 2 字符"/>
    <w:basedOn w:val="54"/>
    <w:autoRedefine/>
    <w:qFormat/>
    <w:uiPriority w:val="99"/>
    <w:rPr>
      <w:kern w:val="2"/>
      <w:sz w:val="21"/>
      <w:szCs w:val="24"/>
    </w:rPr>
  </w:style>
  <w:style w:type="character" w:customStyle="1" w:styleId="307">
    <w:name w:val="标题 字符3"/>
    <w:basedOn w:val="54"/>
    <w:autoRedefine/>
    <w:qFormat/>
    <w:uiPriority w:val="10"/>
    <w:rPr>
      <w:rFonts w:asciiTheme="majorHAnsi" w:hAnsiTheme="majorHAnsi" w:eastAsiaTheme="majorEastAsia" w:cstheme="majorBidi"/>
      <w:b/>
      <w:bCs/>
      <w:sz w:val="32"/>
      <w:szCs w:val="32"/>
    </w:rPr>
  </w:style>
  <w:style w:type="character" w:customStyle="1" w:styleId="308">
    <w:name w:val="访问过的超链接1"/>
    <w:autoRedefine/>
    <w:qFormat/>
    <w:uiPriority w:val="99"/>
    <w:rPr>
      <w:color w:val="800080"/>
      <w:u w:val="single"/>
    </w:rPr>
  </w:style>
  <w:style w:type="character" w:customStyle="1" w:styleId="309">
    <w:name w:val="样式2 Char Char"/>
    <w:autoRedefine/>
    <w:qFormat/>
    <w:uiPriority w:val="0"/>
    <w:rPr>
      <w:rFonts w:ascii="宋体" w:hAnsi="宋体" w:eastAsia="宋体"/>
      <w:b/>
      <w:kern w:val="2"/>
      <w:sz w:val="21"/>
      <w:lang w:val="en-US" w:eastAsia="zh-CN"/>
    </w:rPr>
  </w:style>
  <w:style w:type="character" w:customStyle="1" w:styleId="310">
    <w:name w:val="td121"/>
    <w:autoRedefine/>
    <w:qFormat/>
    <w:uiPriority w:val="0"/>
    <w:rPr>
      <w:spacing w:val="19"/>
      <w:sz w:val="22"/>
    </w:rPr>
  </w:style>
  <w:style w:type="character" w:customStyle="1" w:styleId="311">
    <w:name w:val="p11"/>
    <w:autoRedefine/>
    <w:qFormat/>
    <w:uiPriority w:val="0"/>
    <w:rPr>
      <w:rFonts w:hint="default" w:ascii="Verdana" w:hAnsi="Verdana"/>
      <w:color w:val="666666"/>
      <w:sz w:val="18"/>
      <w:u w:val="none"/>
    </w:rPr>
  </w:style>
  <w:style w:type="character" w:customStyle="1" w:styleId="312">
    <w:name w:val="正文首行缩进2字 Char Char"/>
    <w:autoRedefine/>
    <w:qFormat/>
    <w:uiPriority w:val="0"/>
    <w:rPr>
      <w:rFonts w:eastAsia="楷体_GB2312"/>
      <w:sz w:val="28"/>
      <w:lang w:val="en-US" w:eastAsia="zh-CN"/>
    </w:rPr>
  </w:style>
  <w:style w:type="character" w:customStyle="1" w:styleId="313">
    <w:name w:val="正文符号1 Char Char"/>
    <w:autoRedefine/>
    <w:qFormat/>
    <w:uiPriority w:val="0"/>
    <w:rPr>
      <w:rFonts w:eastAsia="楷体_GB2312"/>
      <w:sz w:val="28"/>
    </w:rPr>
  </w:style>
  <w:style w:type="character" w:customStyle="1" w:styleId="314">
    <w:name w:val="副标题 Char1"/>
    <w:autoRedefine/>
    <w:qFormat/>
    <w:uiPriority w:val="11"/>
    <w:rPr>
      <w:rFonts w:ascii="Cambria" w:hAnsi="Cambria" w:cs="Times New Roman"/>
      <w:b/>
      <w:bCs/>
      <w:kern w:val="28"/>
      <w:sz w:val="32"/>
      <w:szCs w:val="32"/>
    </w:rPr>
  </w:style>
  <w:style w:type="character" w:customStyle="1" w:styleId="315">
    <w:name w:val="p9bk1"/>
    <w:autoRedefine/>
    <w:qFormat/>
    <w:uiPriority w:val="0"/>
    <w:rPr>
      <w:rFonts w:ascii="Arial" w:hAnsi="Arial"/>
      <w:color w:val="000000"/>
      <w:spacing w:val="31680"/>
      <w:sz w:val="18"/>
      <w:u w:val="none"/>
    </w:rPr>
  </w:style>
  <w:style w:type="character" w:customStyle="1" w:styleId="316">
    <w:name w:val="dg2"/>
    <w:basedOn w:val="54"/>
    <w:autoRedefine/>
    <w:qFormat/>
    <w:uiPriority w:val="0"/>
  </w:style>
  <w:style w:type="character" w:customStyle="1" w:styleId="317">
    <w:name w:val="cn1"/>
    <w:autoRedefine/>
    <w:qFormat/>
    <w:uiPriority w:val="0"/>
    <w:rPr>
      <w:sz w:val="18"/>
      <w:szCs w:val="18"/>
    </w:rPr>
  </w:style>
  <w:style w:type="character" w:customStyle="1" w:styleId="318">
    <w:name w:val="black_12"/>
    <w:basedOn w:val="54"/>
    <w:autoRedefine/>
    <w:qFormat/>
    <w:uiPriority w:val="0"/>
  </w:style>
  <w:style w:type="character" w:customStyle="1" w:styleId="319">
    <w:name w:val="fl11"/>
    <w:autoRedefine/>
    <w:qFormat/>
    <w:uiPriority w:val="0"/>
    <w:rPr>
      <w:rFonts w:hint="default" w:ascii="??" w:hAnsi="??"/>
      <w:sz w:val="24"/>
    </w:rPr>
  </w:style>
  <w:style w:type="character" w:customStyle="1" w:styleId="320">
    <w:name w:val="Colorful List - Accent 1 Char Char"/>
    <w:link w:val="321"/>
    <w:autoRedefine/>
    <w:qFormat/>
    <w:uiPriority w:val="0"/>
    <w:rPr>
      <w:kern w:val="2"/>
      <w:sz w:val="21"/>
    </w:rPr>
  </w:style>
  <w:style w:type="paragraph" w:customStyle="1" w:styleId="321">
    <w:name w:val="Colorful List - Accent 1 Char"/>
    <w:basedOn w:val="1"/>
    <w:link w:val="320"/>
    <w:autoRedefine/>
    <w:qFormat/>
    <w:uiPriority w:val="0"/>
    <w:pPr>
      <w:ind w:firstLine="420" w:firstLineChars="200"/>
    </w:pPr>
    <w:rPr>
      <w:szCs w:val="20"/>
    </w:rPr>
  </w:style>
  <w:style w:type="character" w:customStyle="1" w:styleId="322">
    <w:name w:val="14normal1"/>
    <w:autoRedefine/>
    <w:qFormat/>
    <w:uiPriority w:val="0"/>
    <w:rPr>
      <w:rFonts w:hint="default" w:ascii="ˎ̥" w:hAnsi="ˎ̥"/>
      <w:color w:val="000000"/>
      <w:sz w:val="21"/>
      <w:szCs w:val="21"/>
    </w:rPr>
  </w:style>
  <w:style w:type="character" w:customStyle="1" w:styleId="323">
    <w:name w:val="标题 1 Char Char Char Char"/>
    <w:autoRedefine/>
    <w:qFormat/>
    <w:uiPriority w:val="0"/>
    <w:rPr>
      <w:rFonts w:eastAsia="宋体"/>
      <w:b/>
      <w:bCs/>
      <w:kern w:val="44"/>
      <w:sz w:val="44"/>
      <w:szCs w:val="44"/>
      <w:lang w:val="en-US" w:eastAsia="zh-CN" w:bidi="ar-SA"/>
    </w:rPr>
  </w:style>
  <w:style w:type="character" w:customStyle="1" w:styleId="324">
    <w:name w:val="Comment Subject Char1"/>
    <w:autoRedefine/>
    <w:qFormat/>
    <w:uiPriority w:val="0"/>
    <w:rPr>
      <w:rFonts w:eastAsia="宋体"/>
      <w:b/>
      <w:kern w:val="2"/>
      <w:sz w:val="28"/>
      <w:lang w:val="en-US" w:eastAsia="zh-CN"/>
    </w:rPr>
  </w:style>
  <w:style w:type="character" w:customStyle="1" w:styleId="325">
    <w:name w:val="product_detail_brief"/>
    <w:basedOn w:val="54"/>
    <w:autoRedefine/>
    <w:qFormat/>
    <w:uiPriority w:val="0"/>
  </w:style>
  <w:style w:type="character" w:customStyle="1" w:styleId="326">
    <w:name w:val="css"/>
    <w:basedOn w:val="54"/>
    <w:autoRedefine/>
    <w:qFormat/>
    <w:uiPriority w:val="0"/>
  </w:style>
  <w:style w:type="character" w:customStyle="1" w:styleId="327">
    <w:name w:val="f14p1"/>
    <w:autoRedefine/>
    <w:qFormat/>
    <w:uiPriority w:val="0"/>
    <w:rPr>
      <w:sz w:val="25"/>
    </w:rPr>
  </w:style>
  <w:style w:type="character" w:customStyle="1" w:styleId="328">
    <w:name w:val="样式 样式 四号 首行缩进:  0.74 厘米 行距: 1.5 倍行距 + 宋体 四号 行距: 1.5 倍行距 Char Char Char"/>
    <w:link w:val="329"/>
    <w:autoRedefine/>
    <w:qFormat/>
    <w:uiPriority w:val="0"/>
    <w:rPr>
      <w:rFonts w:ascii="宋体" w:hAnsi="宋体"/>
      <w:kern w:val="2"/>
      <w:sz w:val="28"/>
    </w:rPr>
  </w:style>
  <w:style w:type="paragraph" w:customStyle="1" w:styleId="329">
    <w:name w:val="样式 样式 四号 首行缩进:  0.74 厘米 行距: 1.5 倍行距 + 宋体 四号 行距: 1.5 倍行距 Char Char"/>
    <w:basedOn w:val="1"/>
    <w:link w:val="328"/>
    <w:autoRedefine/>
    <w:qFormat/>
    <w:uiPriority w:val="0"/>
    <w:pPr>
      <w:spacing w:line="360" w:lineRule="auto"/>
      <w:ind w:firstLine="560" w:firstLineChars="200"/>
    </w:pPr>
    <w:rPr>
      <w:rFonts w:ascii="宋体" w:hAnsi="宋体"/>
      <w:sz w:val="28"/>
      <w:szCs w:val="20"/>
    </w:rPr>
  </w:style>
  <w:style w:type="paragraph" w:customStyle="1" w:styleId="330">
    <w:name w:val="Becom:中文段落"/>
    <w:basedOn w:val="1"/>
    <w:autoRedefine/>
    <w:qFormat/>
    <w:uiPriority w:val="0"/>
    <w:pPr>
      <w:spacing w:line="300" w:lineRule="auto"/>
      <w:ind w:firstLine="420" w:firstLineChars="200"/>
      <w:jc w:val="left"/>
    </w:pPr>
    <w:rPr>
      <w:szCs w:val="20"/>
    </w:rPr>
  </w:style>
  <w:style w:type="paragraph" w:customStyle="1" w:styleId="331">
    <w:name w:val="Char Char Char2 Char"/>
    <w:basedOn w:val="1"/>
    <w:autoRedefine/>
    <w:qFormat/>
    <w:uiPriority w:val="0"/>
    <w:rPr>
      <w:rFonts w:ascii="Tahoma" w:hAnsi="Tahoma"/>
      <w:sz w:val="24"/>
      <w:szCs w:val="20"/>
    </w:rPr>
  </w:style>
  <w:style w:type="paragraph" w:customStyle="1" w:styleId="332">
    <w:name w:val="样式1"/>
    <w:basedOn w:val="1"/>
    <w:autoRedefine/>
    <w:qFormat/>
    <w:uiPriority w:val="0"/>
    <w:pPr>
      <w:numPr>
        <w:ilvl w:val="0"/>
        <w:numId w:val="10"/>
      </w:numPr>
      <w:adjustRightInd w:val="0"/>
    </w:pPr>
    <w:rPr>
      <w:rFonts w:ascii="宋体" w:hAnsi="宋体"/>
      <w:kern w:val="0"/>
      <w:szCs w:val="21"/>
    </w:rPr>
  </w:style>
  <w:style w:type="paragraph" w:customStyle="1" w:styleId="333">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334">
    <w:name w:val="Colorful List - Accent 1"/>
    <w:basedOn w:val="1"/>
    <w:autoRedefine/>
    <w:qFormat/>
    <w:uiPriority w:val="0"/>
    <w:pPr>
      <w:ind w:firstLine="420" w:firstLineChars="200"/>
    </w:pPr>
    <w:rPr>
      <w:szCs w:val="20"/>
    </w:rPr>
  </w:style>
  <w:style w:type="paragraph" w:customStyle="1" w:styleId="335">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36">
    <w:name w:val="纯文本1"/>
    <w:basedOn w:val="1"/>
    <w:autoRedefine/>
    <w:qFormat/>
    <w:uiPriority w:val="0"/>
    <w:pPr>
      <w:adjustRightInd w:val="0"/>
    </w:pPr>
    <w:rPr>
      <w:rFonts w:ascii="宋体" w:hAnsi="Courier New"/>
      <w:szCs w:val="20"/>
    </w:rPr>
  </w:style>
  <w:style w:type="paragraph" w:customStyle="1" w:styleId="337">
    <w:name w:val="样式 标题 1 + 四号 加粗 行距: 固定值 25 磅"/>
    <w:basedOn w:val="2"/>
    <w:autoRedefine/>
    <w:qFormat/>
    <w:uiPriority w:val="0"/>
    <w:pPr>
      <w:keepLines w:val="0"/>
      <w:autoSpaceDE/>
      <w:autoSpaceDN/>
      <w:adjustRightInd/>
      <w:spacing w:beforeLines="100" w:afterLines="100" w:line="500" w:lineRule="exact"/>
      <w:jc w:val="both"/>
    </w:pPr>
    <w:rPr>
      <w:rFonts w:ascii="Times New Roman" w:hAnsi="宋体" w:eastAsia="黑体"/>
      <w:bCs/>
      <w:kern w:val="2"/>
      <w:sz w:val="28"/>
    </w:rPr>
  </w:style>
  <w:style w:type="paragraph" w:customStyle="1" w:styleId="338">
    <w:name w:val="z-窗体顶端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339">
    <w:name w:val="Colorful List - Accent 11"/>
    <w:basedOn w:val="1"/>
    <w:autoRedefine/>
    <w:qFormat/>
    <w:uiPriority w:val="0"/>
    <w:pPr>
      <w:ind w:firstLine="420" w:firstLineChars="200"/>
    </w:pPr>
    <w:rPr>
      <w:szCs w:val="20"/>
    </w:rPr>
  </w:style>
  <w:style w:type="paragraph" w:customStyle="1" w:styleId="34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342">
    <w:name w:val="普通(Web)1"/>
    <w:basedOn w:val="1"/>
    <w:autoRedefine/>
    <w:qFormat/>
    <w:uiPriority w:val="0"/>
    <w:pPr>
      <w:widowControl/>
      <w:jc w:val="left"/>
    </w:pPr>
    <w:rPr>
      <w:rFonts w:ascii="宋体" w:hAnsi="宋体" w:cs="宋体"/>
      <w:kern w:val="0"/>
      <w:sz w:val="24"/>
    </w:rPr>
  </w:style>
  <w:style w:type="paragraph" w:customStyle="1" w:styleId="343">
    <w:name w:val="首行缩进(A-S-1)"/>
    <w:next w:val="184"/>
    <w:autoRedefine/>
    <w:qFormat/>
    <w:uiPriority w:val="0"/>
    <w:pPr>
      <w:spacing w:line="360" w:lineRule="auto"/>
      <w:ind w:left="454" w:firstLine="2246"/>
    </w:pPr>
    <w:rPr>
      <w:rFonts w:ascii="Times New Roman" w:hAnsi="Times New Roman" w:eastAsia="宋体" w:cs="Times New Roman"/>
      <w:lang w:val="en-US" w:eastAsia="zh-CN" w:bidi="ar-SA"/>
    </w:rPr>
  </w:style>
  <w:style w:type="paragraph" w:customStyle="1" w:styleId="344">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34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46">
    <w:name w:val="列表（符号二级）（Hirisun）"/>
    <w:basedOn w:val="347"/>
    <w:autoRedefine/>
    <w:qFormat/>
    <w:uiPriority w:val="0"/>
    <w:pPr>
      <w:numPr>
        <w:ilvl w:val="1"/>
      </w:numPr>
      <w:ind w:left="1260"/>
    </w:pPr>
  </w:style>
  <w:style w:type="paragraph" w:customStyle="1" w:styleId="347">
    <w:name w:val="列表（符号一级）（Hirisun）"/>
    <w:basedOn w:val="1"/>
    <w:autoRedefine/>
    <w:qFormat/>
    <w:uiPriority w:val="0"/>
    <w:pPr>
      <w:widowControl/>
      <w:numPr>
        <w:ilvl w:val="0"/>
        <w:numId w:val="11"/>
      </w:numPr>
      <w:spacing w:line="300" w:lineRule="auto"/>
      <w:jc w:val="left"/>
    </w:pPr>
    <w:rPr>
      <w:rFonts w:ascii="Arial" w:hAnsi="Arial"/>
      <w:kern w:val="0"/>
      <w:szCs w:val="21"/>
    </w:rPr>
  </w:style>
  <w:style w:type="paragraph" w:customStyle="1" w:styleId="348">
    <w:name w:val="Char Char1 Char Char Char Char Char Char Char Char Char"/>
    <w:basedOn w:val="1"/>
    <w:autoRedefine/>
    <w:qFormat/>
    <w:uiPriority w:val="0"/>
    <w:rPr>
      <w:rFonts w:ascii="宋体" w:hAnsi="宋体"/>
      <w:sz w:val="24"/>
    </w:rPr>
  </w:style>
  <w:style w:type="paragraph" w:customStyle="1" w:styleId="349">
    <w:name w:val="Char Char Char1 Char Char Char"/>
    <w:basedOn w:val="1"/>
    <w:autoRedefine/>
    <w:qFormat/>
    <w:uiPriority w:val="0"/>
    <w:rPr>
      <w:rFonts w:ascii="Tahoma" w:hAnsi="Tahoma"/>
      <w:sz w:val="24"/>
      <w:szCs w:val="20"/>
    </w:rPr>
  </w:style>
  <w:style w:type="paragraph" w:customStyle="1" w:styleId="350">
    <w:name w:val="Char Char2 Char"/>
    <w:basedOn w:val="1"/>
    <w:autoRedefine/>
    <w:qFormat/>
    <w:uiPriority w:val="0"/>
    <w:rPr>
      <w:rFonts w:ascii="Tahoma" w:hAnsi="Tahoma"/>
      <w:sz w:val="24"/>
      <w:szCs w:val="20"/>
    </w:rPr>
  </w:style>
  <w:style w:type="paragraph" w:customStyle="1" w:styleId="351">
    <w:name w:val="彩色列表 - 强调文字颜色 11"/>
    <w:basedOn w:val="1"/>
    <w:autoRedefine/>
    <w:qFormat/>
    <w:uiPriority w:val="0"/>
    <w:pPr>
      <w:ind w:firstLine="420" w:firstLineChars="200"/>
    </w:pPr>
    <w:rPr>
      <w:szCs w:val="20"/>
    </w:rPr>
  </w:style>
  <w:style w:type="paragraph" w:customStyle="1" w:styleId="352">
    <w:name w:val="Char Char Char Char Char Char"/>
    <w:basedOn w:val="1"/>
    <w:autoRedefine/>
    <w:qFormat/>
    <w:uiPriority w:val="0"/>
    <w:rPr>
      <w:rFonts w:ascii="Tahoma" w:hAnsi="Tahoma"/>
      <w:sz w:val="24"/>
      <w:szCs w:val="20"/>
    </w:rPr>
  </w:style>
  <w:style w:type="paragraph" w:customStyle="1" w:styleId="353">
    <w:name w:val="样式 标题 3 + 非加粗 行距: 固定值 25 磅"/>
    <w:basedOn w:val="4"/>
    <w:autoRedefine/>
    <w:qFormat/>
    <w:uiPriority w:val="0"/>
    <w:pPr>
      <w:keepNext w:val="0"/>
      <w:keepLines w:val="0"/>
      <w:autoSpaceDE/>
      <w:autoSpaceDN/>
      <w:adjustRightInd/>
      <w:spacing w:beforeLines="50" w:afterLines="50" w:line="360" w:lineRule="auto"/>
      <w:ind w:firstLine="420" w:firstLineChars="200"/>
      <w:jc w:val="both"/>
      <w:outlineLvl w:val="9"/>
    </w:pPr>
    <w:rPr>
      <w:rFonts w:ascii="Times New Roman" w:hAnsi="宋体"/>
      <w:b w:val="0"/>
      <w:kern w:val="2"/>
      <w:sz w:val="28"/>
      <w:u w:val="none"/>
    </w:rPr>
  </w:style>
  <w:style w:type="paragraph" w:customStyle="1" w:styleId="354">
    <w:name w:val="Char Char Char3 Char Char Char Char Char Char"/>
    <w:basedOn w:val="1"/>
    <w:autoRedefine/>
    <w:qFormat/>
    <w:uiPriority w:val="0"/>
    <w:rPr>
      <w:rFonts w:ascii="Tahoma" w:hAnsi="Tahoma"/>
      <w:sz w:val="24"/>
      <w:szCs w:val="20"/>
    </w:rPr>
  </w:style>
  <w:style w:type="paragraph" w:customStyle="1" w:styleId="355">
    <w:name w:val="TOC 标题1"/>
    <w:basedOn w:val="2"/>
    <w:next w:val="1"/>
    <w:autoRedefine/>
    <w:qFormat/>
    <w:uiPriority w:val="39"/>
    <w:pPr>
      <w:widowControl/>
      <w:autoSpaceDE/>
      <w:autoSpaceDN/>
      <w:adjustRightInd/>
      <w:spacing w:beforeLines="100" w:afterLines="100" w:line="276" w:lineRule="auto"/>
      <w:jc w:val="left"/>
      <w:outlineLvl w:val="9"/>
    </w:pPr>
    <w:rPr>
      <w:rFonts w:ascii="Cambria" w:hAnsi="Cambria" w:eastAsia="黑体"/>
      <w:color w:val="365F91"/>
      <w:kern w:val="0"/>
      <w:sz w:val="28"/>
    </w:rPr>
  </w:style>
  <w:style w:type="paragraph" w:customStyle="1" w:styleId="35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标题 4 + 仿宋_GB2312"/>
    <w:basedOn w:val="4"/>
    <w:autoRedefine/>
    <w:qFormat/>
    <w:uiPriority w:val="0"/>
    <w:pPr>
      <w:spacing w:beforeLines="50" w:afterLines="50" w:line="360" w:lineRule="auto"/>
      <w:ind w:firstLine="420" w:firstLineChars="200"/>
      <w:jc w:val="both"/>
    </w:pPr>
    <w:rPr>
      <w:rFonts w:ascii="仿宋_GB2312" w:hAnsi="仿宋_GB2312" w:eastAsia="仿宋_GB2312"/>
      <w:b w:val="0"/>
      <w:color w:val="000000"/>
      <w:u w:val="none"/>
    </w:rPr>
  </w:style>
  <w:style w:type="paragraph" w:customStyle="1" w:styleId="35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9">
    <w:name w:val="样式 标题 2 + 段前: 1 行 段后: 1 行"/>
    <w:basedOn w:val="3"/>
    <w:autoRedefine/>
    <w:qFormat/>
    <w:uiPriority w:val="0"/>
    <w:pPr>
      <w:tabs>
        <w:tab w:val="left" w:pos="315"/>
        <w:tab w:val="left" w:pos="576"/>
      </w:tabs>
      <w:autoSpaceDE/>
      <w:autoSpaceDN/>
      <w:adjustRightInd/>
      <w:spacing w:beforeLines="100" w:afterLines="100" w:line="240" w:lineRule="auto"/>
      <w:ind w:left="576" w:hanging="576"/>
      <w:jc w:val="both"/>
    </w:pPr>
    <w:rPr>
      <w:rFonts w:cs="宋体"/>
      <w:color w:val="000000"/>
      <w:spacing w:val="10"/>
      <w:kern w:val="2"/>
      <w:szCs w:val="30"/>
    </w:rPr>
  </w:style>
  <w:style w:type="paragraph" w:customStyle="1" w:styleId="360">
    <w:name w:val="图注解"/>
    <w:basedOn w:val="1"/>
    <w:autoRedefine/>
    <w:qFormat/>
    <w:uiPriority w:val="0"/>
    <w:pPr>
      <w:spacing w:line="480" w:lineRule="auto"/>
      <w:jc w:val="center"/>
    </w:pPr>
    <w:rPr>
      <w:sz w:val="24"/>
      <w:szCs w:val="20"/>
    </w:rPr>
  </w:style>
  <w:style w:type="paragraph" w:customStyle="1" w:styleId="361">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362">
    <w:name w:val="Char Char1 Char"/>
    <w:basedOn w:val="1"/>
    <w:autoRedefine/>
    <w:qFormat/>
    <w:uiPriority w:val="0"/>
    <w:pPr>
      <w:spacing w:after="160" w:line="240" w:lineRule="exact"/>
    </w:pPr>
    <w:rPr>
      <w:rFonts w:ascii="Verdana" w:hAnsi="Verdana"/>
      <w:sz w:val="20"/>
      <w:szCs w:val="20"/>
      <w:lang w:eastAsia="en-US"/>
    </w:rPr>
  </w:style>
  <w:style w:type="paragraph" w:customStyle="1" w:styleId="363">
    <w:name w:val="技术报告小节标题"/>
    <w:basedOn w:val="1"/>
    <w:next w:val="1"/>
    <w:autoRedefine/>
    <w:qFormat/>
    <w:uiPriority w:val="0"/>
    <w:pPr>
      <w:spacing w:beforeLines="50" w:afterLines="50" w:line="360" w:lineRule="auto"/>
      <w:ind w:left="1156"/>
      <w:outlineLvl w:val="2"/>
    </w:pPr>
    <w:rPr>
      <w:rFonts w:ascii="宋体" w:hAnsi="宋体"/>
      <w:b/>
      <w:color w:val="000000"/>
      <w:sz w:val="28"/>
      <w:szCs w:val="20"/>
    </w:rPr>
  </w:style>
  <w:style w:type="paragraph" w:customStyle="1" w:styleId="364">
    <w:name w:val="1 Char Char Char Char Char Char Char Char Char Char"/>
    <w:basedOn w:val="1"/>
    <w:autoRedefine/>
    <w:qFormat/>
    <w:uiPriority w:val="0"/>
    <w:rPr>
      <w:rFonts w:ascii="Tahoma" w:hAnsi="Tahoma"/>
      <w:sz w:val="24"/>
      <w:szCs w:val="20"/>
    </w:rPr>
  </w:style>
  <w:style w:type="paragraph" w:customStyle="1" w:styleId="365">
    <w:name w:val="Bullets 2"/>
    <w:basedOn w:val="366"/>
    <w:autoRedefine/>
    <w:qFormat/>
    <w:uiPriority w:val="0"/>
    <w:pPr>
      <w:tabs>
        <w:tab w:val="left" w:pos="360"/>
        <w:tab w:val="left" w:pos="840"/>
        <w:tab w:val="left" w:pos="1078"/>
        <w:tab w:val="left" w:pos="1620"/>
      </w:tabs>
      <w:ind w:left="1620" w:hanging="720"/>
    </w:pPr>
    <w:rPr>
      <w:rFonts w:eastAsia="宋体"/>
    </w:rPr>
  </w:style>
  <w:style w:type="paragraph" w:customStyle="1" w:styleId="366">
    <w:name w:val="Bullets 1"/>
    <w:basedOn w:val="367"/>
    <w:autoRedefine/>
    <w:qFormat/>
    <w:uiPriority w:val="0"/>
    <w:pPr>
      <w:tabs>
        <w:tab w:val="left" w:pos="360"/>
        <w:tab w:val="left" w:pos="1078"/>
      </w:tabs>
      <w:spacing w:before="0" w:after="0"/>
      <w:ind w:left="1078" w:hanging="360"/>
    </w:pPr>
  </w:style>
  <w:style w:type="paragraph" w:customStyle="1" w:styleId="367">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36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369">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370">
    <w:name w:val="样式 标题 1 + 四号 居中 段前: 12 磅 段后: 12 磅 行距: 单倍行距"/>
    <w:basedOn w:val="2"/>
    <w:autoRedefine/>
    <w:qFormat/>
    <w:uiPriority w:val="0"/>
    <w:pPr>
      <w:autoSpaceDE/>
      <w:autoSpaceDN/>
      <w:spacing w:beforeLines="100" w:afterLines="100" w:line="240" w:lineRule="auto"/>
      <w:ind w:firstLine="288"/>
    </w:pPr>
    <w:rPr>
      <w:rFonts w:ascii="Times New Roman" w:hAnsi="宋体" w:eastAsia="黑体"/>
      <w:sz w:val="28"/>
    </w:rPr>
  </w:style>
  <w:style w:type="paragraph" w:customStyle="1" w:styleId="371">
    <w:name w:val="标准正文"/>
    <w:basedOn w:val="1"/>
    <w:autoRedefine/>
    <w:qFormat/>
    <w:uiPriority w:val="0"/>
    <w:pPr>
      <w:snapToGrid w:val="0"/>
      <w:spacing w:afterLines="50" w:line="360" w:lineRule="auto"/>
      <w:ind w:firstLine="480" w:firstLineChars="200"/>
    </w:pPr>
    <w:rPr>
      <w:sz w:val="24"/>
      <w:szCs w:val="20"/>
    </w:rPr>
  </w:style>
  <w:style w:type="paragraph" w:customStyle="1" w:styleId="372">
    <w:name w:val="Char Char1 Char Char Char Char Char Char Char Char Char Char"/>
    <w:basedOn w:val="1"/>
    <w:autoRedefine/>
    <w:qFormat/>
    <w:uiPriority w:val="0"/>
    <w:rPr>
      <w:rFonts w:ascii="宋体" w:hAnsi="宋体"/>
      <w:sz w:val="24"/>
      <w:szCs w:val="20"/>
    </w:rPr>
  </w:style>
  <w:style w:type="paragraph" w:customStyle="1" w:styleId="373">
    <w:name w:val="Char Char Char1 Char Char Char Char Char Char Char"/>
    <w:basedOn w:val="1"/>
    <w:autoRedefine/>
    <w:qFormat/>
    <w:uiPriority w:val="0"/>
    <w:rPr>
      <w:rFonts w:ascii="Tahoma" w:hAnsi="Tahoma"/>
      <w:sz w:val="24"/>
      <w:szCs w:val="20"/>
    </w:rPr>
  </w:style>
  <w:style w:type="paragraph" w:customStyle="1" w:styleId="374">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375">
    <w:name w:val="_Style 16"/>
    <w:basedOn w:val="1"/>
    <w:next w:val="26"/>
    <w:autoRedefine/>
    <w:qFormat/>
    <w:uiPriority w:val="0"/>
    <w:rPr>
      <w:rFonts w:hint="eastAsia" w:ascii="宋体" w:hAnsi="Courier New"/>
      <w:szCs w:val="20"/>
    </w:rPr>
  </w:style>
  <w:style w:type="paragraph" w:customStyle="1" w:styleId="376">
    <w:name w:val="Char Char Char1 Char Char Char Char Char Char Char Char Char Char"/>
    <w:basedOn w:val="1"/>
    <w:autoRedefine/>
    <w:qFormat/>
    <w:uiPriority w:val="0"/>
    <w:rPr>
      <w:rFonts w:ascii="Tahoma" w:hAnsi="Tahoma"/>
      <w:sz w:val="24"/>
      <w:szCs w:val="20"/>
    </w:rPr>
  </w:style>
  <w:style w:type="paragraph" w:customStyle="1" w:styleId="377">
    <w:name w:val="正文首行缩进（Hirisun）"/>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378">
    <w:name w:val="样式 标题 1H1Heading 0R1H11h1Level 1 Topic HeadingSection Hea...1"/>
    <w:basedOn w:val="2"/>
    <w:autoRedefine/>
    <w:qFormat/>
    <w:uiPriority w:val="0"/>
    <w:pPr>
      <w:tabs>
        <w:tab w:val="left" w:pos="340"/>
      </w:tabs>
      <w:autoSpaceDE/>
      <w:autoSpaceDN/>
      <w:adjustRightInd/>
      <w:spacing w:beforeLines="100" w:afterLines="100" w:line="360" w:lineRule="auto"/>
      <w:jc w:val="left"/>
    </w:pPr>
    <w:rPr>
      <w:rFonts w:ascii="Times New Roman" w:hAnsi="宋体" w:eastAsia="黑体" w:cs="宋体"/>
      <w:bCs/>
      <w:spacing w:val="16"/>
    </w:rPr>
  </w:style>
  <w:style w:type="paragraph" w:customStyle="1" w:styleId="379">
    <w:name w:val="正文首行缩进2字"/>
    <w:basedOn w:val="1"/>
    <w:autoRedefine/>
    <w:qFormat/>
    <w:uiPriority w:val="0"/>
    <w:pPr>
      <w:ind w:firstLine="560" w:firstLineChars="200"/>
    </w:pPr>
    <w:rPr>
      <w:rFonts w:eastAsia="楷体_GB2312"/>
      <w:sz w:val="28"/>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81">
    <w:name w:val="Char Char Char1 Char Char Char Char Char Char2"/>
    <w:basedOn w:val="1"/>
    <w:autoRedefine/>
    <w:qFormat/>
    <w:uiPriority w:val="0"/>
    <w:rPr>
      <w:rFonts w:ascii="Tahoma" w:hAnsi="Tahoma"/>
      <w:sz w:val="24"/>
      <w:szCs w:val="20"/>
    </w:rPr>
  </w:style>
  <w:style w:type="paragraph" w:customStyle="1" w:styleId="382">
    <w:name w:val="_Style 20"/>
    <w:basedOn w:val="1"/>
    <w:next w:val="20"/>
    <w:autoRedefine/>
    <w:qFormat/>
    <w:uiPriority w:val="0"/>
    <w:pPr>
      <w:spacing w:before="120" w:after="120"/>
      <w:jc w:val="left"/>
    </w:pPr>
    <w:rPr>
      <w:szCs w:val="20"/>
    </w:rPr>
  </w:style>
  <w:style w:type="paragraph" w:customStyle="1" w:styleId="38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5">
    <w:name w:val="正文符号1"/>
    <w:basedOn w:val="379"/>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386">
    <w:name w:val="TOC 标题2"/>
    <w:basedOn w:val="2"/>
    <w:next w:val="1"/>
    <w:autoRedefine/>
    <w:qFormat/>
    <w:uiPriority w:val="39"/>
    <w:pPr>
      <w:autoSpaceDE/>
      <w:autoSpaceDN/>
      <w:adjustRightInd/>
      <w:spacing w:beforeLines="100" w:afterLines="100" w:line="578" w:lineRule="auto"/>
      <w:jc w:val="both"/>
      <w:outlineLvl w:val="9"/>
    </w:pPr>
    <w:rPr>
      <w:rFonts w:ascii="Times New Roman" w:hAnsi="宋体" w:eastAsia="黑体"/>
      <w:bCs/>
      <w:sz w:val="44"/>
      <w:szCs w:val="44"/>
    </w:rPr>
  </w:style>
  <w:style w:type="paragraph" w:customStyle="1" w:styleId="387">
    <w:name w:val="样式 标题 1H1Heading 0R1H11h1Level 1 Topic HeadingSection Hea...2"/>
    <w:basedOn w:val="2"/>
    <w:autoRedefine/>
    <w:qFormat/>
    <w:uiPriority w:val="0"/>
    <w:pPr>
      <w:tabs>
        <w:tab w:val="left" w:pos="340"/>
      </w:tabs>
      <w:autoSpaceDE/>
      <w:autoSpaceDN/>
      <w:adjustRightInd/>
      <w:spacing w:beforeLines="100" w:afterLines="100" w:line="360" w:lineRule="auto"/>
    </w:pPr>
    <w:rPr>
      <w:rFonts w:ascii="Times New Roman" w:hAnsi="宋体" w:eastAsia="黑体" w:cs="宋体"/>
      <w:bCs/>
      <w:spacing w:val="16"/>
    </w:rPr>
  </w:style>
  <w:style w:type="paragraph" w:customStyle="1" w:styleId="388">
    <w:name w:val="正文加点1"/>
    <w:basedOn w:val="14"/>
    <w:autoRedefine/>
    <w:qFormat/>
    <w:uiPriority w:val="0"/>
    <w:pPr>
      <w:tabs>
        <w:tab w:val="left" w:pos="425"/>
        <w:tab w:val="left" w:pos="900"/>
      </w:tabs>
      <w:autoSpaceDE/>
      <w:autoSpaceDN/>
      <w:adjustRightInd/>
      <w:spacing w:beforeLines="50" w:afterLines="50" w:line="360" w:lineRule="auto"/>
      <w:ind w:left="900" w:firstLine="0"/>
    </w:pPr>
    <w:rPr>
      <w:rFonts w:ascii="Arial" w:hAnsi="Arial"/>
      <w:b/>
      <w:szCs w:val="20"/>
    </w:rPr>
  </w:style>
  <w:style w:type="paragraph" w:customStyle="1" w:styleId="389">
    <w:name w:val="普通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9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1">
    <w:name w:val="段"/>
    <w:link w:val="39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autoRedefine/>
    <w:qFormat/>
    <w:locked/>
    <w:uiPriority w:val="0"/>
    <w:rPr>
      <w:rFonts w:ascii="宋体"/>
      <w:sz w:val="21"/>
    </w:rPr>
  </w:style>
  <w:style w:type="paragraph" w:customStyle="1" w:styleId="393">
    <w:name w:val="xl93"/>
    <w:basedOn w:val="2"/>
    <w:next w:val="131"/>
    <w:autoRedefine/>
    <w:qFormat/>
    <w:uiPriority w:val="0"/>
    <w:pPr>
      <w:shd w:val="clear" w:color="000000" w:fill="FFFF00"/>
      <w:spacing w:beforeLines="100" w:afterLines="100" w:line="360" w:lineRule="auto"/>
      <w:ind w:firstLine="14"/>
    </w:pPr>
    <w:rPr>
      <w:rFonts w:hAnsi="宋体" w:eastAsia="黑体"/>
    </w:rPr>
  </w:style>
  <w:style w:type="paragraph" w:customStyle="1" w:styleId="394">
    <w:name w:val="CM14"/>
    <w:next w:val="185"/>
    <w:autoRedefine/>
    <w:qFormat/>
    <w:uiPriority w:val="0"/>
    <w:pPr>
      <w:widowControl w:val="0"/>
      <w:autoSpaceDE w:val="0"/>
      <w:autoSpaceDN w:val="0"/>
      <w:spacing w:line="253" w:lineRule="atLeast"/>
      <w:ind w:firstLine="3584"/>
    </w:pPr>
    <w:rPr>
      <w:rFonts w:ascii="Times New Roman" w:hAnsi="Times New Roman" w:eastAsia="宋体" w:cs="Times New Roman"/>
      <w:lang w:val="en-US" w:eastAsia="zh-CN" w:bidi="ar-SA"/>
    </w:rPr>
  </w:style>
  <w:style w:type="paragraph" w:customStyle="1" w:styleId="395">
    <w:name w:val="样式 标题 1H1Heading 0R1H11h1Level 1 Topic HeadingSection Hea..."/>
    <w:basedOn w:val="2"/>
    <w:autoRedefine/>
    <w:qFormat/>
    <w:uiPriority w:val="0"/>
    <w:pPr>
      <w:tabs>
        <w:tab w:val="left" w:pos="340"/>
      </w:tabs>
      <w:autoSpaceDE/>
      <w:autoSpaceDN/>
      <w:adjustRightInd/>
      <w:spacing w:beforeLines="100" w:afterLines="100" w:line="360" w:lineRule="auto"/>
      <w:jc w:val="left"/>
    </w:pPr>
    <w:rPr>
      <w:rFonts w:ascii="Times New Roman" w:hAnsi="宋体" w:eastAsia="黑体" w:cs="宋体"/>
      <w:bCs/>
      <w:spacing w:val="16"/>
    </w:rPr>
  </w:style>
  <w:style w:type="paragraph" w:customStyle="1" w:styleId="396">
    <w:name w:val="Char Char Char Char Char Char Char Char Char Char Char Char Char"/>
    <w:basedOn w:val="1"/>
    <w:autoRedefine/>
    <w:qFormat/>
    <w:uiPriority w:val="0"/>
    <w:rPr>
      <w:rFonts w:ascii="Tahoma" w:hAnsi="Tahoma"/>
      <w:sz w:val="24"/>
      <w:szCs w:val="20"/>
    </w:rPr>
  </w:style>
  <w:style w:type="paragraph" w:customStyle="1" w:styleId="39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8">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399">
    <w:name w:val="Colorful List - Accent 12"/>
    <w:basedOn w:val="1"/>
    <w:autoRedefine/>
    <w:qFormat/>
    <w:uiPriority w:val="0"/>
    <w:pPr>
      <w:ind w:firstLine="420" w:firstLineChars="200"/>
    </w:pPr>
    <w:rPr>
      <w:szCs w:val="20"/>
    </w:rPr>
  </w:style>
  <w:style w:type="paragraph" w:customStyle="1" w:styleId="400">
    <w:name w:val="Char Char Char3 Char Char Char Char Char Char Char Char Char1"/>
    <w:basedOn w:val="1"/>
    <w:autoRedefine/>
    <w:qFormat/>
    <w:uiPriority w:val="0"/>
    <w:rPr>
      <w:rFonts w:ascii="Tahoma" w:hAnsi="Tahoma"/>
      <w:sz w:val="24"/>
      <w:szCs w:val="20"/>
    </w:rPr>
  </w:style>
  <w:style w:type="paragraph" w:customStyle="1" w:styleId="401">
    <w:name w:val="样式 Style Heading 8 + 黑体 五号 Bold Left:  0.51 cm Hanging:  11.52 c..."/>
    <w:basedOn w:val="1"/>
    <w:autoRedefine/>
    <w:qFormat/>
    <w:uiPriority w:val="0"/>
    <w:pPr>
      <w:keepNext/>
      <w:widowControl/>
      <w:numPr>
        <w:ilvl w:val="0"/>
        <w:numId w:val="12"/>
      </w:numPr>
      <w:spacing w:before="120" w:after="240"/>
      <w:jc w:val="center"/>
      <w:outlineLvl w:val="7"/>
    </w:pPr>
    <w:rPr>
      <w:rFonts w:ascii="Tahoma" w:hAnsi="Tahoma" w:eastAsia="黑体" w:cs="宋体"/>
      <w:b/>
      <w:bCs/>
      <w:kern w:val="0"/>
      <w:sz w:val="18"/>
      <w:szCs w:val="18"/>
    </w:rPr>
  </w:style>
  <w:style w:type="paragraph" w:customStyle="1" w:styleId="402">
    <w:name w:val="方案设计正文"/>
    <w:basedOn w:val="1"/>
    <w:autoRedefine/>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403">
    <w:name w:val="技术报告正文 Char Char"/>
    <w:basedOn w:val="1"/>
    <w:autoRedefine/>
    <w:qFormat/>
    <w:uiPriority w:val="0"/>
    <w:pPr>
      <w:spacing w:beforeLines="50" w:line="440" w:lineRule="exact"/>
      <w:ind w:firstLine="200" w:firstLineChars="200"/>
    </w:pPr>
    <w:rPr>
      <w:sz w:val="28"/>
      <w:szCs w:val="20"/>
    </w:rPr>
  </w:style>
  <w:style w:type="paragraph" w:customStyle="1" w:styleId="404">
    <w:name w:val="修订111"/>
    <w:autoRedefine/>
    <w:qFormat/>
    <w:uiPriority w:val="99"/>
    <w:rPr>
      <w:rFonts w:ascii="Calibri" w:hAnsi="Calibri" w:eastAsia="宋体" w:cs="Times New Roman"/>
      <w:kern w:val="2"/>
      <w:sz w:val="21"/>
      <w:szCs w:val="22"/>
      <w:lang w:val="en-US" w:eastAsia="zh-CN" w:bidi="ar-SA"/>
    </w:rPr>
  </w:style>
  <w:style w:type="paragraph" w:customStyle="1" w:styleId="405">
    <w:name w:val="样式 标题 3H3h3sect1.2.3HeadCHeading 3 - oldMapH31Level 3 To..."/>
    <w:basedOn w:val="4"/>
    <w:autoRedefine/>
    <w:qFormat/>
    <w:uiPriority w:val="0"/>
    <w:pPr>
      <w:tabs>
        <w:tab w:val="left" w:pos="426"/>
      </w:tabs>
      <w:autoSpaceDE/>
      <w:autoSpaceDN/>
      <w:spacing w:beforeLines="50" w:afterLines="50" w:line="300" w:lineRule="auto"/>
      <w:ind w:left="426" w:firstLine="420" w:firstLineChars="200"/>
    </w:pPr>
    <w:rPr>
      <w:rFonts w:ascii="Times New Roman" w:hAnsi="宋体" w:eastAsia="黑体" w:cs="宋体"/>
      <w:bCs/>
      <w:u w:val="none"/>
    </w:rPr>
  </w:style>
  <w:style w:type="paragraph" w:customStyle="1" w:styleId="4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GCY 正文"/>
    <w:basedOn w:val="1"/>
    <w:link w:val="409"/>
    <w:autoRedefine/>
    <w:qFormat/>
    <w:uiPriority w:val="0"/>
    <w:pPr>
      <w:spacing w:line="360" w:lineRule="auto"/>
      <w:ind w:firstLine="200" w:firstLineChars="200"/>
    </w:pPr>
    <w:rPr>
      <w:sz w:val="24"/>
    </w:rPr>
  </w:style>
  <w:style w:type="character" w:customStyle="1" w:styleId="409">
    <w:name w:val="GCY 正文 Char"/>
    <w:link w:val="408"/>
    <w:autoRedefine/>
    <w:qFormat/>
    <w:uiPriority w:val="0"/>
    <w:rPr>
      <w:kern w:val="2"/>
      <w:sz w:val="24"/>
      <w:szCs w:val="24"/>
    </w:rPr>
  </w:style>
  <w:style w:type="paragraph" w:customStyle="1" w:styleId="410">
    <w:name w:val="正文（无缩进）"/>
    <w:basedOn w:val="1"/>
    <w:next w:val="411"/>
    <w:autoRedefine/>
    <w:qFormat/>
    <w:uiPriority w:val="0"/>
    <w:pPr>
      <w:spacing w:line="360" w:lineRule="auto"/>
    </w:pPr>
    <w:rPr>
      <w:rFonts w:ascii="Calibri" w:hAnsi="Calibri"/>
      <w:sz w:val="24"/>
      <w:szCs w:val="21"/>
    </w:rPr>
  </w:style>
  <w:style w:type="paragraph" w:customStyle="1" w:styleId="411">
    <w:name w:val="xl141"/>
    <w:basedOn w:val="2"/>
    <w:next w:val="412"/>
    <w:autoRedefine/>
    <w:qFormat/>
    <w:uiPriority w:val="0"/>
    <w:pPr>
      <w:widowControl/>
      <w:autoSpaceDE/>
      <w:autoSpaceDN/>
      <w:spacing w:beforeLines="100" w:afterLines="100" w:line="240" w:lineRule="auto"/>
      <w:ind w:firstLine="4608"/>
    </w:pPr>
    <w:rPr>
      <w:rFonts w:hAnsi="宋体" w:eastAsia="黑体"/>
    </w:rPr>
  </w:style>
  <w:style w:type="paragraph" w:customStyle="1" w:styleId="412">
    <w:name w:val="xl125"/>
    <w:basedOn w:val="2"/>
    <w:next w:val="413"/>
    <w:autoRedefine/>
    <w:qFormat/>
    <w:uiPriority w:val="0"/>
    <w:pPr>
      <w:widowControl/>
      <w:autoSpaceDE/>
      <w:autoSpaceDN/>
      <w:spacing w:beforeLines="100" w:afterLines="100" w:line="240" w:lineRule="auto"/>
      <w:ind w:firstLine="3584"/>
    </w:pPr>
    <w:rPr>
      <w:rFonts w:hAnsi="宋体" w:eastAsia="黑体"/>
    </w:rPr>
  </w:style>
  <w:style w:type="paragraph" w:customStyle="1" w:styleId="413">
    <w:name w:val="样式 样式 宋体 倾斜 自定义颜(RGB(0112192)) 首行缩进:  0.85 厘米 段前: 6 磅 段后: 6 磅 + ..."/>
    <w:next w:val="414"/>
    <w:autoRedefine/>
    <w:qFormat/>
    <w:uiPriority w:val="0"/>
    <w:pPr>
      <w:shd w:val="clear" w:color="000000" w:fill="FFFFFF"/>
      <w:spacing w:before="50" w:after="50" w:line="360" w:lineRule="auto"/>
      <w:ind w:left="482" w:firstLine="24"/>
    </w:pPr>
    <w:rPr>
      <w:rFonts w:ascii="Calibri" w:hAnsi="Calibri" w:eastAsia="宋体" w:cs="Times New Roman"/>
      <w:lang w:val="en-US" w:eastAsia="zh-CN" w:bidi="ar-SA"/>
    </w:rPr>
  </w:style>
  <w:style w:type="paragraph" w:customStyle="1" w:styleId="414">
    <w:name w:val="标书正文"/>
    <w:basedOn w:val="2"/>
    <w:next w:val="415"/>
    <w:autoRedefine/>
    <w:qFormat/>
    <w:uiPriority w:val="0"/>
    <w:pPr>
      <w:widowControl/>
      <w:autoSpaceDE/>
      <w:autoSpaceDN/>
      <w:spacing w:beforeLines="100" w:afterLines="100" w:line="360" w:lineRule="auto"/>
      <w:ind w:left="620" w:firstLine="3748"/>
    </w:pPr>
    <w:rPr>
      <w:rFonts w:hAnsi="宋体" w:eastAsia="黑体"/>
    </w:rPr>
  </w:style>
  <w:style w:type="paragraph" w:customStyle="1" w:styleId="415">
    <w:name w:val="_"/>
    <w:basedOn w:val="2"/>
    <w:next w:val="416"/>
    <w:autoRedefine/>
    <w:qFormat/>
    <w:uiPriority w:val="0"/>
    <w:pPr>
      <w:widowControl/>
      <w:autoSpaceDE/>
      <w:autoSpaceDN/>
      <w:spacing w:beforeLines="100" w:afterLines="100" w:line="360" w:lineRule="auto"/>
      <w:ind w:left="480" w:firstLine="2048"/>
    </w:pPr>
    <w:rPr>
      <w:rFonts w:hAnsi="宋体" w:eastAsia="黑体"/>
    </w:rPr>
  </w:style>
  <w:style w:type="paragraph" w:customStyle="1" w:styleId="416">
    <w:name w:val="样式 五号 左  6.3 字符 Char Char Char"/>
    <w:basedOn w:val="2"/>
    <w:next w:val="417"/>
    <w:autoRedefine/>
    <w:qFormat/>
    <w:uiPriority w:val="0"/>
    <w:pPr>
      <w:widowControl/>
      <w:autoSpaceDE/>
      <w:autoSpaceDN/>
      <w:spacing w:beforeLines="100" w:afterLines="100" w:line="240" w:lineRule="auto"/>
      <w:ind w:left="1260" w:firstLine="2048"/>
    </w:pPr>
    <w:rPr>
      <w:rFonts w:hAnsi="宋体" w:eastAsia="黑体"/>
    </w:rPr>
  </w:style>
  <w:style w:type="paragraph" w:customStyle="1" w:styleId="417">
    <w:name w:val="xl103"/>
    <w:basedOn w:val="2"/>
    <w:next w:val="418"/>
    <w:autoRedefine/>
    <w:qFormat/>
    <w:uiPriority w:val="0"/>
    <w:pPr>
      <w:widowControl/>
      <w:shd w:val="clear" w:color="000000" w:fill="FFFF00"/>
      <w:autoSpaceDE/>
      <w:autoSpaceDN/>
      <w:spacing w:beforeLines="100" w:afterLines="100" w:line="240" w:lineRule="auto"/>
      <w:ind w:firstLine="14"/>
    </w:pPr>
    <w:rPr>
      <w:rFonts w:hAnsi="宋体" w:eastAsia="黑体"/>
    </w:rPr>
  </w:style>
  <w:style w:type="paragraph" w:customStyle="1" w:styleId="418">
    <w:name w:val="三级列表"/>
    <w:next w:val="419"/>
    <w:autoRedefine/>
    <w:qFormat/>
    <w:uiPriority w:val="0"/>
    <w:pPr>
      <w:spacing w:line="360" w:lineRule="auto"/>
      <w:ind w:left="1259" w:firstLine="3671"/>
    </w:pPr>
    <w:rPr>
      <w:rFonts w:ascii="Calibri" w:hAnsi="Calibri" w:eastAsia="宋体" w:cs="Times New Roman"/>
      <w:lang w:val="en-US" w:eastAsia="zh-CN" w:bidi="ar-SA"/>
    </w:rPr>
  </w:style>
  <w:style w:type="paragraph" w:customStyle="1" w:styleId="419">
    <w:name w:val="xl87"/>
    <w:basedOn w:val="2"/>
    <w:next w:val="420"/>
    <w:autoRedefine/>
    <w:qFormat/>
    <w:uiPriority w:val="0"/>
    <w:pPr>
      <w:widowControl/>
      <w:shd w:val="clear" w:color="000000" w:fill="FFFF00"/>
      <w:autoSpaceDE/>
      <w:autoSpaceDN/>
      <w:spacing w:beforeLines="100" w:afterLines="100" w:line="240" w:lineRule="auto"/>
      <w:ind w:firstLine="14"/>
    </w:pPr>
    <w:rPr>
      <w:rFonts w:hAnsi="宋体" w:eastAsia="黑体"/>
    </w:rPr>
  </w:style>
  <w:style w:type="paragraph" w:customStyle="1" w:styleId="420">
    <w:name w:val="xl90"/>
    <w:basedOn w:val="2"/>
    <w:next w:val="421"/>
    <w:autoRedefine/>
    <w:qFormat/>
    <w:uiPriority w:val="0"/>
    <w:pPr>
      <w:widowControl/>
      <w:shd w:val="clear" w:color="000000" w:fill="FFFF00"/>
      <w:autoSpaceDE/>
      <w:autoSpaceDN/>
      <w:spacing w:beforeLines="100" w:afterLines="100" w:line="240" w:lineRule="auto"/>
      <w:ind w:firstLine="14"/>
    </w:pPr>
    <w:rPr>
      <w:rFonts w:hAnsi="宋体" w:eastAsia="黑体"/>
    </w:rPr>
  </w:style>
  <w:style w:type="paragraph" w:customStyle="1" w:styleId="421">
    <w:name w:val="xl80"/>
    <w:basedOn w:val="2"/>
    <w:next w:val="422"/>
    <w:autoRedefine/>
    <w:qFormat/>
    <w:uiPriority w:val="0"/>
    <w:pPr>
      <w:widowControl/>
      <w:shd w:val="clear" w:color="000000" w:fill="FFFFFF"/>
      <w:autoSpaceDE/>
      <w:autoSpaceDN/>
      <w:spacing w:beforeLines="100" w:afterLines="100" w:line="240" w:lineRule="auto"/>
      <w:ind w:firstLine="14"/>
    </w:pPr>
    <w:rPr>
      <w:rFonts w:hAnsi="宋体" w:eastAsia="黑体"/>
    </w:rPr>
  </w:style>
  <w:style w:type="paragraph" w:customStyle="1" w:styleId="422">
    <w:name w:val="表格文本居中"/>
    <w:basedOn w:val="2"/>
    <w:next w:val="423"/>
    <w:autoRedefine/>
    <w:qFormat/>
    <w:uiPriority w:val="0"/>
    <w:pPr>
      <w:widowControl/>
      <w:spacing w:beforeLines="100" w:afterLines="100" w:line="240" w:lineRule="auto"/>
      <w:ind w:firstLine="1024"/>
    </w:pPr>
    <w:rPr>
      <w:rFonts w:hAnsi="宋体" w:eastAsia="黑体"/>
    </w:rPr>
  </w:style>
  <w:style w:type="paragraph" w:customStyle="1" w:styleId="423">
    <w:name w:val="_Style 18"/>
    <w:basedOn w:val="1"/>
    <w:next w:val="1"/>
    <w:autoRedefine/>
    <w:qFormat/>
    <w:uiPriority w:val="0"/>
    <w:pPr>
      <w:widowControl/>
      <w:ind w:firstLine="3584"/>
      <w:jc w:val="center"/>
    </w:pPr>
    <w:rPr>
      <w:szCs w:val="20"/>
    </w:rPr>
  </w:style>
  <w:style w:type="character" w:customStyle="1" w:styleId="424">
    <w:name w:val="before"/>
    <w:basedOn w:val="54"/>
    <w:autoRedefine/>
    <w:qFormat/>
    <w:uiPriority w:val="0"/>
    <w:rPr>
      <w:rFonts w:hint="default" w:ascii="FontAwesome" w:hAnsi="FontAwesome" w:eastAsia="FontAwesome" w:cs="FontAwesome"/>
      <w:color w:val="888888"/>
    </w:rPr>
  </w:style>
  <w:style w:type="character" w:customStyle="1" w:styleId="425">
    <w:name w:val="before1"/>
    <w:basedOn w:val="54"/>
    <w:autoRedefine/>
    <w:qFormat/>
    <w:uiPriority w:val="0"/>
    <w:rPr>
      <w:rFonts w:hint="default" w:ascii="FontAwesome" w:hAnsi="FontAwesome" w:eastAsia="FontAwesome" w:cs="FontAwesome"/>
      <w:color w:val="888888"/>
    </w:rPr>
  </w:style>
  <w:style w:type="character" w:customStyle="1" w:styleId="426">
    <w:name w:val="active5"/>
    <w:basedOn w:val="54"/>
    <w:autoRedefine/>
    <w:qFormat/>
    <w:uiPriority w:val="0"/>
    <w:rPr>
      <w:color w:val="FFFFFF"/>
      <w:shd w:val="clear" w:color="auto" w:fill="428BCA"/>
    </w:rPr>
  </w:style>
  <w:style w:type="character" w:customStyle="1" w:styleId="427">
    <w:name w:val="old"/>
    <w:basedOn w:val="54"/>
    <w:autoRedefine/>
    <w:qFormat/>
    <w:uiPriority w:val="0"/>
    <w:rPr>
      <w:color w:val="999999"/>
    </w:rPr>
  </w:style>
  <w:style w:type="character" w:customStyle="1" w:styleId="428">
    <w:name w:val="input-icon2"/>
    <w:basedOn w:val="54"/>
    <w:autoRedefine/>
    <w:qFormat/>
    <w:uiPriority w:val="0"/>
  </w:style>
  <w:style w:type="character" w:customStyle="1" w:styleId="429">
    <w:name w:val="ui-jqgrid-resize"/>
    <w:basedOn w:val="54"/>
    <w:autoRedefine/>
    <w:qFormat/>
    <w:uiPriority w:val="0"/>
  </w:style>
  <w:style w:type="character" w:customStyle="1" w:styleId="430">
    <w:name w:val="ui-icon38"/>
    <w:basedOn w:val="54"/>
    <w:autoRedefine/>
    <w:qFormat/>
    <w:uiPriority w:val="0"/>
  </w:style>
  <w:style w:type="character" w:customStyle="1" w:styleId="431">
    <w:name w:val="ui-icon39"/>
    <w:basedOn w:val="54"/>
    <w:autoRedefine/>
    <w:qFormat/>
    <w:uiPriority w:val="0"/>
  </w:style>
  <w:style w:type="character" w:customStyle="1" w:styleId="432">
    <w:name w:val="ui-icon40"/>
    <w:basedOn w:val="54"/>
    <w:autoRedefine/>
    <w:qFormat/>
    <w:uiPriority w:val="0"/>
  </w:style>
  <w:style w:type="character" w:customStyle="1" w:styleId="433">
    <w:name w:val="hover5"/>
    <w:basedOn w:val="54"/>
    <w:autoRedefine/>
    <w:qFormat/>
    <w:uiPriority w:val="0"/>
    <w:rPr>
      <w:shd w:val="clear" w:color="auto" w:fill="EEEEEE"/>
    </w:rPr>
  </w:style>
  <w:style w:type="paragraph" w:customStyle="1" w:styleId="434">
    <w:name w:val="WPSOffice手动目录 1"/>
    <w:autoRedefine/>
    <w:qFormat/>
    <w:uiPriority w:val="0"/>
    <w:rPr>
      <w:rFonts w:ascii="Times New Roman" w:hAnsi="Times New Roman" w:eastAsia="宋体" w:cs="Times New Roman"/>
      <w:lang w:val="en-US" w:eastAsia="zh-CN" w:bidi="ar-SA"/>
    </w:rPr>
  </w:style>
  <w:style w:type="paragraph" w:customStyle="1" w:styleId="43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3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37">
    <w:name w:val="纯文本2"/>
    <w:basedOn w:val="1"/>
    <w:autoRedefine/>
    <w:qFormat/>
    <w:uiPriority w:val="0"/>
    <w:rPr>
      <w:rFonts w:ascii="宋体" w:hAnsi="Courier New" w:cs="Courier New"/>
      <w:szCs w:val="21"/>
    </w:rPr>
  </w:style>
  <w:style w:type="character" w:customStyle="1" w:styleId="438">
    <w:name w:val="font21"/>
    <w:basedOn w:val="54"/>
    <w:autoRedefine/>
    <w:qFormat/>
    <w:uiPriority w:val="0"/>
    <w:rPr>
      <w:rFonts w:hint="eastAsia" w:ascii="宋体" w:hAnsi="宋体" w:eastAsia="宋体" w:cs="宋体"/>
      <w:color w:val="000000"/>
      <w:sz w:val="22"/>
      <w:szCs w:val="22"/>
      <w:u w:val="none"/>
    </w:rPr>
  </w:style>
  <w:style w:type="paragraph" w:customStyle="1" w:styleId="439">
    <w:name w:val="初设4"/>
    <w:basedOn w:val="112"/>
    <w:autoRedefine/>
    <w:qFormat/>
    <w:uiPriority w:val="0"/>
    <w:pPr>
      <w:autoSpaceDN w:val="0"/>
      <w:spacing w:beforeLines="50" w:afterLines="50"/>
      <w:ind w:firstLine="560"/>
      <w:jc w:val="left"/>
    </w:pPr>
    <w:rPr>
      <w:rFonts w:ascii="仿宋_GB2312" w:hAnsi="Times New Roman" w:eastAsia="仿宋_GB2312" w:cs="仿宋_GB2312"/>
      <w:kern w:val="0"/>
      <w:sz w:val="28"/>
      <w:szCs w:val="28"/>
    </w:rPr>
  </w:style>
  <w:style w:type="paragraph" w:customStyle="1" w:styleId="440">
    <w:name w:val="*正文"/>
    <w:basedOn w:val="1"/>
    <w:link w:val="441"/>
    <w:autoRedefine/>
    <w:qFormat/>
    <w:uiPriority w:val="0"/>
    <w:pPr>
      <w:widowControl/>
      <w:spacing w:beforeLines="50" w:afterLines="50" w:line="360" w:lineRule="auto"/>
      <w:ind w:firstLine="560" w:firstLineChars="200"/>
    </w:pPr>
    <w:rPr>
      <w:rFonts w:ascii="仿宋_GB2312" w:hAnsi="宋体" w:eastAsia="仿宋"/>
      <w:color w:val="000000"/>
      <w:kern w:val="0"/>
      <w:sz w:val="28"/>
      <w:szCs w:val="28"/>
    </w:rPr>
  </w:style>
  <w:style w:type="character" w:customStyle="1" w:styleId="441">
    <w:name w:val="*正文 Char"/>
    <w:link w:val="440"/>
    <w:autoRedefine/>
    <w:qFormat/>
    <w:locked/>
    <w:uiPriority w:val="0"/>
    <w:rPr>
      <w:rFonts w:ascii="仿宋_GB2312" w:hAnsi="宋体" w:eastAsia="仿宋"/>
      <w:color w:val="000000"/>
      <w:sz w:val="28"/>
      <w:szCs w:val="28"/>
    </w:rPr>
  </w:style>
  <w:style w:type="character" w:customStyle="1" w:styleId="442">
    <w:name w:val="ui-icon"/>
    <w:basedOn w:val="54"/>
    <w:autoRedefine/>
    <w:qFormat/>
    <w:uiPriority w:val="0"/>
  </w:style>
  <w:style w:type="character" w:customStyle="1" w:styleId="443">
    <w:name w:val="ui-icon1"/>
    <w:basedOn w:val="54"/>
    <w:autoRedefine/>
    <w:qFormat/>
    <w:uiPriority w:val="0"/>
  </w:style>
  <w:style w:type="character" w:customStyle="1" w:styleId="444">
    <w:name w:val="ui-icon2"/>
    <w:basedOn w:val="54"/>
    <w:autoRedefine/>
    <w:qFormat/>
    <w:uiPriority w:val="0"/>
  </w:style>
  <w:style w:type="character" w:customStyle="1" w:styleId="445">
    <w:name w:val="hover6"/>
    <w:basedOn w:val="54"/>
    <w:autoRedefine/>
    <w:qFormat/>
    <w:uiPriority w:val="0"/>
    <w:rPr>
      <w:shd w:val="clear" w:color="auto" w:fill="EEEEEE"/>
    </w:rPr>
  </w:style>
  <w:style w:type="character" w:customStyle="1" w:styleId="446">
    <w:name w:val="active6"/>
    <w:basedOn w:val="54"/>
    <w:autoRedefine/>
    <w:qFormat/>
    <w:uiPriority w:val="0"/>
    <w:rPr>
      <w:color w:val="FFFFFF"/>
      <w:shd w:val="clear" w:color="auto" w:fill="428BCA"/>
    </w:rPr>
  </w:style>
  <w:style w:type="character" w:customStyle="1" w:styleId="447">
    <w:name w:val="layui-this"/>
    <w:basedOn w:val="54"/>
    <w:autoRedefine/>
    <w:qFormat/>
    <w:uiPriority w:val="0"/>
    <w:rPr>
      <w:bdr w:val="single" w:color="EEEEEE" w:sz="6" w:space="0"/>
      <w:shd w:val="clear" w:color="auto" w:fill="FFFFFF"/>
    </w:rPr>
  </w:style>
  <w:style w:type="character" w:customStyle="1" w:styleId="448">
    <w:name w:val="first-child"/>
    <w:basedOn w:val="54"/>
    <w:autoRedefine/>
    <w:qFormat/>
    <w:uiPriority w:val="0"/>
  </w:style>
  <w:style w:type="character" w:customStyle="1" w:styleId="449">
    <w:name w:val="font01"/>
    <w:basedOn w:val="54"/>
    <w:autoRedefine/>
    <w:qFormat/>
    <w:uiPriority w:val="99"/>
    <w:rPr>
      <w:rFonts w:hint="eastAsia" w:ascii="宋体" w:hAnsi="宋体" w:eastAsia="宋体" w:cs="宋体"/>
      <w:color w:val="000000"/>
      <w:sz w:val="18"/>
      <w:szCs w:val="18"/>
      <w:u w:val="none"/>
    </w:rPr>
  </w:style>
  <w:style w:type="character" w:customStyle="1" w:styleId="450">
    <w:name w:val="font31"/>
    <w:basedOn w:val="54"/>
    <w:autoRedefine/>
    <w:qFormat/>
    <w:uiPriority w:val="0"/>
    <w:rPr>
      <w:rFonts w:hint="default" w:ascii="仿宋_GB2312" w:eastAsia="仿宋_GB2312" w:cs="仿宋_GB2312"/>
      <w:color w:val="000000"/>
      <w:sz w:val="22"/>
      <w:szCs w:val="22"/>
      <w:u w:val="none"/>
    </w:rPr>
  </w:style>
  <w:style w:type="paragraph" w:customStyle="1" w:styleId="451">
    <w:name w:val="！正文"/>
    <w:basedOn w:val="2"/>
    <w:next w:val="191"/>
    <w:autoRedefine/>
    <w:qFormat/>
    <w:uiPriority w:val="0"/>
    <w:pPr>
      <w:spacing w:beforeLines="100" w:afterLines="100"/>
      <w:ind w:left="400" w:firstLine="2704"/>
    </w:pPr>
    <w:rPr>
      <w:rFonts w:hAnsi="宋体" w:eastAsia="黑体"/>
    </w:rPr>
  </w:style>
  <w:style w:type="paragraph" w:customStyle="1" w:styleId="452">
    <w:name w:val="正文非缩进文本"/>
    <w:basedOn w:val="1"/>
    <w:autoRedefine/>
    <w:qFormat/>
    <w:uiPriority w:val="0"/>
    <w:pPr>
      <w:spacing w:line="480" w:lineRule="auto"/>
    </w:pPr>
    <w:rPr>
      <w:rFonts w:ascii="Calibri" w:hAnsi="Calibri"/>
      <w:kern w:val="44"/>
      <w:sz w:val="24"/>
      <w:szCs w:val="20"/>
    </w:rPr>
  </w:style>
  <w:style w:type="character" w:customStyle="1" w:styleId="453">
    <w:name w:val="标题 字符2"/>
    <w:autoRedefine/>
    <w:qFormat/>
    <w:uiPriority w:val="10"/>
    <w:rPr>
      <w:rFonts w:ascii="等线 Light" w:hAnsi="等线 Light" w:eastAsia="等线 Light" w:cs="Times New Roman"/>
      <w:b/>
      <w:bCs/>
      <w:sz w:val="32"/>
      <w:szCs w:val="32"/>
    </w:rPr>
  </w:style>
  <w:style w:type="character" w:customStyle="1" w:styleId="454">
    <w:name w:val="表格非标题文字 Char"/>
    <w:link w:val="455"/>
    <w:autoRedefine/>
    <w:qFormat/>
    <w:uiPriority w:val="0"/>
    <w:rPr>
      <w:rFonts w:ascii="Arial" w:hAnsi="Arial" w:cs="黑体"/>
      <w:sz w:val="18"/>
      <w:szCs w:val="21"/>
    </w:rPr>
  </w:style>
  <w:style w:type="paragraph" w:customStyle="1" w:styleId="455">
    <w:name w:val="表格非标题文字"/>
    <w:link w:val="454"/>
    <w:autoRedefine/>
    <w:qFormat/>
    <w:uiPriority w:val="0"/>
    <w:pPr>
      <w:snapToGrid w:val="0"/>
      <w:spacing w:before="80" w:after="40"/>
    </w:pPr>
    <w:rPr>
      <w:rFonts w:ascii="Arial" w:hAnsi="Arial" w:eastAsia="宋体" w:cs="黑体"/>
      <w:sz w:val="18"/>
      <w:szCs w:val="21"/>
      <w:lang w:val="en-US" w:eastAsia="zh-CN" w:bidi="ar-SA"/>
    </w:rPr>
  </w:style>
  <w:style w:type="character" w:customStyle="1" w:styleId="456">
    <w:name w:val="题注 Char"/>
    <w:autoRedefine/>
    <w:qFormat/>
    <w:uiPriority w:val="0"/>
    <w:rPr>
      <w:rFonts w:eastAsia="宋体"/>
      <w:b/>
      <w:kern w:val="2"/>
      <w:sz w:val="21"/>
      <w:szCs w:val="21"/>
      <w:lang w:bidi="ar-SA"/>
    </w:rPr>
  </w:style>
  <w:style w:type="character" w:customStyle="1" w:styleId="457">
    <w:name w:val="1Q方案正文 Char"/>
    <w:link w:val="458"/>
    <w:autoRedefine/>
    <w:qFormat/>
    <w:locked/>
    <w:uiPriority w:val="0"/>
    <w:rPr>
      <w:rFonts w:ascii="宋体" w:hAnsi="宋体"/>
      <w:color w:val="000000"/>
      <w:sz w:val="24"/>
      <w:szCs w:val="24"/>
      <w:lang w:val="zh-CN"/>
    </w:rPr>
  </w:style>
  <w:style w:type="paragraph" w:customStyle="1" w:styleId="458">
    <w:name w:val="1Q方案正文"/>
    <w:basedOn w:val="1"/>
    <w:link w:val="457"/>
    <w:autoRedefine/>
    <w:qFormat/>
    <w:uiPriority w:val="0"/>
    <w:pPr>
      <w:spacing w:beforeLines="50" w:after="120" w:line="360" w:lineRule="auto"/>
      <w:ind w:firstLine="480" w:firstLineChars="200"/>
    </w:pPr>
    <w:rPr>
      <w:rFonts w:ascii="宋体" w:hAnsi="宋体"/>
      <w:color w:val="000000"/>
      <w:kern w:val="0"/>
      <w:sz w:val="24"/>
      <w:lang w:val="zh-CN"/>
    </w:rPr>
  </w:style>
  <w:style w:type="character" w:customStyle="1" w:styleId="459">
    <w:name w:val="正文[新产业] Char"/>
    <w:link w:val="460"/>
    <w:autoRedefine/>
    <w:semiHidden/>
    <w:qFormat/>
    <w:locked/>
    <w:uiPriority w:val="0"/>
    <w:rPr>
      <w:sz w:val="24"/>
    </w:rPr>
  </w:style>
  <w:style w:type="paragraph" w:customStyle="1" w:styleId="460">
    <w:name w:val="正文[新产业]"/>
    <w:basedOn w:val="1"/>
    <w:link w:val="459"/>
    <w:autoRedefine/>
    <w:semiHidden/>
    <w:qFormat/>
    <w:uiPriority w:val="0"/>
    <w:pPr>
      <w:spacing w:line="360" w:lineRule="auto"/>
      <w:ind w:firstLine="200" w:firstLineChars="200"/>
    </w:pPr>
    <w:rPr>
      <w:kern w:val="0"/>
      <w:sz w:val="24"/>
      <w:szCs w:val="20"/>
    </w:rPr>
  </w:style>
  <w:style w:type="character" w:customStyle="1" w:styleId="461">
    <w:name w:val="表单 Char"/>
    <w:link w:val="462"/>
    <w:autoRedefine/>
    <w:semiHidden/>
    <w:qFormat/>
    <w:locked/>
    <w:uiPriority w:val="0"/>
    <w:rPr>
      <w:rFonts w:ascii="仿宋_GB2312" w:eastAsia="仿宋_GB2312"/>
      <w:szCs w:val="30"/>
    </w:rPr>
  </w:style>
  <w:style w:type="paragraph" w:customStyle="1" w:styleId="462">
    <w:name w:val="表单"/>
    <w:basedOn w:val="1"/>
    <w:link w:val="461"/>
    <w:autoRedefine/>
    <w:semiHidden/>
    <w:qFormat/>
    <w:uiPriority w:val="0"/>
    <w:pPr>
      <w:spacing w:line="360" w:lineRule="auto"/>
      <w:ind w:firstLine="420" w:firstLineChars="200"/>
    </w:pPr>
    <w:rPr>
      <w:rFonts w:ascii="仿宋_GB2312" w:eastAsia="仿宋_GB2312"/>
      <w:kern w:val="0"/>
      <w:sz w:val="20"/>
      <w:szCs w:val="30"/>
    </w:rPr>
  </w:style>
  <w:style w:type="character" w:customStyle="1" w:styleId="463">
    <w:name w:val="引用 字符"/>
    <w:link w:val="464"/>
    <w:autoRedefine/>
    <w:qFormat/>
    <w:uiPriority w:val="29"/>
    <w:rPr>
      <w:rFonts w:ascii="Calibri" w:hAnsi="Calibri"/>
      <w:i/>
      <w:iCs/>
      <w:color w:val="000000"/>
      <w:sz w:val="22"/>
      <w:lang w:eastAsia="en-US" w:bidi="en-US"/>
    </w:rPr>
  </w:style>
  <w:style w:type="paragraph" w:customStyle="1" w:styleId="464">
    <w:name w:val="引用1"/>
    <w:basedOn w:val="1"/>
    <w:next w:val="1"/>
    <w:link w:val="463"/>
    <w:autoRedefine/>
    <w:qFormat/>
    <w:uiPriority w:val="29"/>
    <w:pPr>
      <w:widowControl/>
      <w:spacing w:after="200" w:line="276" w:lineRule="auto"/>
      <w:jc w:val="left"/>
    </w:pPr>
    <w:rPr>
      <w:rFonts w:ascii="Calibri" w:hAnsi="Calibri"/>
      <w:i/>
      <w:iCs/>
      <w:color w:val="000000"/>
      <w:kern w:val="0"/>
      <w:sz w:val="22"/>
      <w:szCs w:val="20"/>
      <w:lang w:eastAsia="en-US" w:bidi="en-US"/>
    </w:rPr>
  </w:style>
  <w:style w:type="character" w:customStyle="1" w:styleId="465">
    <w:name w:val="样式 首行缩进:  0 字符 Char"/>
    <w:link w:val="466"/>
    <w:autoRedefine/>
    <w:semiHidden/>
    <w:qFormat/>
    <w:uiPriority w:val="0"/>
    <w:rPr>
      <w:rFonts w:ascii="Arial" w:hAnsi="Arial" w:cs="宋体"/>
      <w:sz w:val="24"/>
    </w:rPr>
  </w:style>
  <w:style w:type="paragraph" w:customStyle="1" w:styleId="466">
    <w:name w:val="样式 首行缩进:  0 字符"/>
    <w:basedOn w:val="1"/>
    <w:link w:val="465"/>
    <w:autoRedefine/>
    <w:semiHidden/>
    <w:qFormat/>
    <w:uiPriority w:val="0"/>
    <w:pPr>
      <w:widowControl/>
      <w:spacing w:line="360" w:lineRule="auto"/>
      <w:ind w:firstLine="420" w:firstLineChars="200"/>
      <w:jc w:val="left"/>
    </w:pPr>
    <w:rPr>
      <w:rFonts w:ascii="Arial" w:hAnsi="Arial" w:cs="宋体"/>
      <w:kern w:val="0"/>
      <w:sz w:val="24"/>
      <w:szCs w:val="20"/>
    </w:rPr>
  </w:style>
  <w:style w:type="character" w:customStyle="1" w:styleId="467">
    <w:name w:val="明显引用 字符"/>
    <w:link w:val="468"/>
    <w:autoRedefine/>
    <w:qFormat/>
    <w:uiPriority w:val="30"/>
    <w:rPr>
      <w:rFonts w:ascii="Calibri" w:hAnsi="Calibri"/>
      <w:b/>
      <w:bCs/>
      <w:i/>
      <w:iCs/>
      <w:color w:val="4F81BD"/>
      <w:sz w:val="22"/>
      <w:lang w:eastAsia="en-US" w:bidi="en-US"/>
    </w:rPr>
  </w:style>
  <w:style w:type="paragraph" w:customStyle="1" w:styleId="468">
    <w:name w:val="明显引用1"/>
    <w:basedOn w:val="1"/>
    <w:next w:val="1"/>
    <w:link w:val="467"/>
    <w:autoRedefine/>
    <w:qFormat/>
    <w:uiPriority w:val="3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469">
    <w:name w:val="明显参考1"/>
    <w:autoRedefine/>
    <w:qFormat/>
    <w:uiPriority w:val="32"/>
    <w:rPr>
      <w:b/>
      <w:bCs/>
      <w:smallCaps/>
      <w:color w:val="C0504D"/>
      <w:spacing w:val="5"/>
      <w:u w:val="single"/>
    </w:rPr>
  </w:style>
  <w:style w:type="character" w:customStyle="1" w:styleId="470">
    <w:name w:val="样式4 Char"/>
    <w:link w:val="471"/>
    <w:autoRedefine/>
    <w:semiHidden/>
    <w:qFormat/>
    <w:uiPriority w:val="0"/>
    <w:rPr>
      <w:rFonts w:ascii="Arial" w:hAnsi="Arial" w:eastAsia="等线"/>
      <w:b/>
      <w:bCs/>
      <w:sz w:val="24"/>
      <w:szCs w:val="24"/>
      <w:lang w:val="zh-CN"/>
    </w:rPr>
  </w:style>
  <w:style w:type="paragraph" w:customStyle="1" w:styleId="471">
    <w:name w:val="样式4"/>
    <w:basedOn w:val="5"/>
    <w:link w:val="470"/>
    <w:autoRedefine/>
    <w:semiHidden/>
    <w:qFormat/>
    <w:uiPriority w:val="0"/>
    <w:pPr>
      <w:adjustRightInd/>
      <w:spacing w:beforeLines="30" w:after="120" w:line="240" w:lineRule="auto"/>
      <w:ind w:left="864" w:hanging="864"/>
      <w:textAlignment w:val="auto"/>
    </w:pPr>
    <w:rPr>
      <w:rFonts w:eastAsia="等线"/>
      <w:bCs/>
      <w:sz w:val="24"/>
      <w:szCs w:val="24"/>
      <w:lang w:val="zh-CN"/>
    </w:rPr>
  </w:style>
  <w:style w:type="character" w:customStyle="1" w:styleId="472">
    <w:name w:val="表编号 Char"/>
    <w:link w:val="473"/>
    <w:autoRedefine/>
    <w:qFormat/>
    <w:uiPriority w:val="0"/>
    <w:rPr>
      <w:sz w:val="24"/>
    </w:rPr>
  </w:style>
  <w:style w:type="paragraph" w:customStyle="1" w:styleId="473">
    <w:name w:val="表编号"/>
    <w:basedOn w:val="1"/>
    <w:link w:val="472"/>
    <w:autoRedefine/>
    <w:qFormat/>
    <w:uiPriority w:val="0"/>
    <w:pPr>
      <w:tabs>
        <w:tab w:val="left" w:pos="360"/>
      </w:tabs>
      <w:spacing w:line="360" w:lineRule="auto"/>
      <w:ind w:firstLine="200" w:firstLineChars="200"/>
      <w:jc w:val="center"/>
    </w:pPr>
    <w:rPr>
      <w:kern w:val="0"/>
      <w:sz w:val="24"/>
      <w:szCs w:val="20"/>
    </w:rPr>
  </w:style>
  <w:style w:type="character" w:customStyle="1" w:styleId="474">
    <w:name w:val="正文-首行缩进 Char"/>
    <w:link w:val="475"/>
    <w:autoRedefine/>
    <w:semiHidden/>
    <w:qFormat/>
    <w:uiPriority w:val="0"/>
    <w:rPr>
      <w:rFonts w:ascii="Arial" w:hAnsi="Arial" w:cs="Arial"/>
      <w:szCs w:val="21"/>
    </w:rPr>
  </w:style>
  <w:style w:type="paragraph" w:customStyle="1" w:styleId="475">
    <w:name w:val="正文-首行缩进"/>
    <w:basedOn w:val="1"/>
    <w:link w:val="474"/>
    <w:autoRedefine/>
    <w:semiHidden/>
    <w:qFormat/>
    <w:uiPriority w:val="0"/>
    <w:pPr>
      <w:widowControl/>
      <w:snapToGrid w:val="0"/>
      <w:spacing w:before="80" w:after="80" w:line="300" w:lineRule="auto"/>
      <w:ind w:firstLine="420" w:firstLineChars="200"/>
    </w:pPr>
    <w:rPr>
      <w:rFonts w:ascii="Arial" w:hAnsi="Arial" w:cs="Arial"/>
      <w:kern w:val="0"/>
      <w:sz w:val="20"/>
      <w:szCs w:val="21"/>
    </w:rPr>
  </w:style>
  <w:style w:type="character" w:customStyle="1" w:styleId="476">
    <w:name w:val="样式5 Char"/>
    <w:link w:val="477"/>
    <w:autoRedefine/>
    <w:semiHidden/>
    <w:qFormat/>
    <w:uiPriority w:val="0"/>
    <w:rPr>
      <w:rFonts w:ascii="等线" w:hAnsi="等线" w:eastAsia="等线"/>
      <w:b/>
      <w:sz w:val="28"/>
      <w:szCs w:val="28"/>
      <w:lang w:val="zh-CN"/>
    </w:rPr>
  </w:style>
  <w:style w:type="paragraph" w:customStyle="1" w:styleId="477">
    <w:name w:val="样式5"/>
    <w:basedOn w:val="4"/>
    <w:next w:val="167"/>
    <w:link w:val="476"/>
    <w:autoRedefine/>
    <w:semiHidden/>
    <w:qFormat/>
    <w:uiPriority w:val="0"/>
    <w:pPr>
      <w:tabs>
        <w:tab w:val="left" w:pos="330"/>
        <w:tab w:val="left" w:pos="2160"/>
      </w:tabs>
      <w:autoSpaceDE/>
      <w:autoSpaceDN/>
      <w:spacing w:beforeLines="30" w:after="0" w:line="360" w:lineRule="auto"/>
      <w:ind w:left="2160"/>
      <w:jc w:val="both"/>
    </w:pPr>
    <w:rPr>
      <w:rFonts w:ascii="等线" w:hAnsi="等线" w:eastAsia="等线"/>
      <w:sz w:val="28"/>
      <w:szCs w:val="28"/>
      <w:u w:val="none"/>
      <w:lang w:val="zh-CN"/>
    </w:rPr>
  </w:style>
  <w:style w:type="character" w:customStyle="1" w:styleId="478">
    <w:name w:val="列表段落 字符"/>
    <w:link w:val="479"/>
    <w:autoRedefine/>
    <w:semiHidden/>
    <w:qFormat/>
    <w:uiPriority w:val="34"/>
    <w:rPr>
      <w:rFonts w:ascii="等线" w:hAnsi="等线" w:eastAsia="等线"/>
    </w:rPr>
  </w:style>
  <w:style w:type="paragraph" w:customStyle="1" w:styleId="479">
    <w:name w:val="列表段落11"/>
    <w:basedOn w:val="1"/>
    <w:link w:val="478"/>
    <w:autoRedefine/>
    <w:semiHidden/>
    <w:qFormat/>
    <w:uiPriority w:val="34"/>
    <w:pPr>
      <w:spacing w:line="360" w:lineRule="auto"/>
      <w:ind w:firstLine="420" w:firstLineChars="200"/>
    </w:pPr>
    <w:rPr>
      <w:rFonts w:ascii="等线" w:hAnsi="等线" w:eastAsia="等线"/>
      <w:kern w:val="0"/>
      <w:sz w:val="20"/>
      <w:szCs w:val="20"/>
    </w:rPr>
  </w:style>
  <w:style w:type="character" w:customStyle="1" w:styleId="480">
    <w:name w:val="正文文本首行缩进 字符"/>
    <w:autoRedefine/>
    <w:qFormat/>
    <w:uiPriority w:val="34"/>
    <w:rPr>
      <w:rFonts w:ascii="DengXian (正文)" w:hAnsi="DengXian (正文)" w:eastAsia="DengXian (正文)" w:cs="DengXian (正文)"/>
      <w:sz w:val="24"/>
      <w:szCs w:val="24"/>
    </w:rPr>
  </w:style>
  <w:style w:type="character" w:customStyle="1" w:styleId="481">
    <w:name w:val="k正文 字符"/>
    <w:link w:val="482"/>
    <w:autoRedefine/>
    <w:semiHidden/>
    <w:qFormat/>
    <w:uiPriority w:val="0"/>
    <w:rPr>
      <w:rFonts w:ascii="宋体" w:hAnsi="宋体" w:cs="Arial"/>
      <w:sz w:val="24"/>
      <w:szCs w:val="24"/>
    </w:rPr>
  </w:style>
  <w:style w:type="paragraph" w:customStyle="1" w:styleId="482">
    <w:name w:val="k正文"/>
    <w:basedOn w:val="1"/>
    <w:link w:val="481"/>
    <w:autoRedefine/>
    <w:semiHidden/>
    <w:qFormat/>
    <w:uiPriority w:val="0"/>
    <w:pPr>
      <w:spacing w:line="360" w:lineRule="auto"/>
      <w:ind w:firstLine="480" w:firstLineChars="200"/>
    </w:pPr>
    <w:rPr>
      <w:rFonts w:ascii="宋体" w:hAnsi="宋体" w:cs="Arial"/>
      <w:kern w:val="0"/>
      <w:sz w:val="24"/>
    </w:rPr>
  </w:style>
  <w:style w:type="character" w:customStyle="1" w:styleId="483">
    <w:name w:val="标题 2 字符1"/>
    <w:autoRedefine/>
    <w:qFormat/>
    <w:uiPriority w:val="0"/>
    <w:rPr>
      <w:rFonts w:ascii="Arial" w:hAnsi="Arial" w:eastAsia="黑体"/>
      <w:b/>
      <w:bCs/>
      <w:kern w:val="44"/>
      <w:sz w:val="32"/>
      <w:lang w:val="zh-CN" w:eastAsia="zh-CN"/>
    </w:rPr>
  </w:style>
  <w:style w:type="character" w:customStyle="1" w:styleId="484">
    <w:name w:val="不明显参考11"/>
    <w:autoRedefine/>
    <w:qFormat/>
    <w:uiPriority w:val="31"/>
    <w:rPr>
      <w:smallCaps/>
      <w:color w:val="C0504D"/>
      <w:u w:val="single"/>
    </w:rPr>
  </w:style>
  <w:style w:type="character" w:customStyle="1" w:styleId="485">
    <w:name w:val="列出段落 Char1"/>
    <w:autoRedefine/>
    <w:qFormat/>
    <w:uiPriority w:val="34"/>
    <w:rPr>
      <w:rFonts w:ascii="Times New Roman" w:hAnsi="Times New Roman" w:eastAsia="宋体" w:cs="Times New Roman"/>
      <w:sz w:val="24"/>
      <w:szCs w:val="24"/>
    </w:rPr>
  </w:style>
  <w:style w:type="character" w:customStyle="1" w:styleId="486">
    <w:name w:val="Table Text Char1"/>
    <w:link w:val="487"/>
    <w:autoRedefine/>
    <w:semiHidden/>
    <w:qFormat/>
    <w:uiPriority w:val="0"/>
    <w:rPr>
      <w:rFonts w:ascii="Arial" w:hAnsi="Arial" w:cs="Arial"/>
      <w:sz w:val="18"/>
      <w:szCs w:val="18"/>
    </w:rPr>
  </w:style>
  <w:style w:type="paragraph" w:customStyle="1" w:styleId="487">
    <w:name w:val="Table Text"/>
    <w:link w:val="486"/>
    <w:autoRedefine/>
    <w:semiHidden/>
    <w:qFormat/>
    <w:uiPriority w:val="0"/>
    <w:pPr>
      <w:snapToGrid w:val="0"/>
      <w:spacing w:before="80" w:after="80"/>
    </w:pPr>
    <w:rPr>
      <w:rFonts w:ascii="Arial" w:hAnsi="Arial" w:eastAsia="宋体" w:cs="Arial"/>
      <w:sz w:val="18"/>
      <w:szCs w:val="18"/>
      <w:lang w:val="en-US" w:eastAsia="zh-CN" w:bidi="ar-SA"/>
    </w:rPr>
  </w:style>
  <w:style w:type="character" w:customStyle="1" w:styleId="488">
    <w:name w:val="不明显强调1"/>
    <w:autoRedefine/>
    <w:qFormat/>
    <w:uiPriority w:val="19"/>
    <w:rPr>
      <w:i/>
      <w:iCs/>
      <w:color w:val="000000"/>
    </w:rPr>
  </w:style>
  <w:style w:type="character" w:customStyle="1" w:styleId="489">
    <w:name w:val="彩色列表 - 着色 1 字符"/>
    <w:link w:val="490"/>
    <w:autoRedefine/>
    <w:semiHidden/>
    <w:qFormat/>
    <w:uiPriority w:val="0"/>
    <w:rPr>
      <w:rFonts w:ascii="等线" w:hAnsi="等线"/>
      <w:sz w:val="24"/>
      <w:szCs w:val="24"/>
    </w:rPr>
  </w:style>
  <w:style w:type="paragraph" w:customStyle="1" w:styleId="490">
    <w:name w:val="彩色列表 - 着色 11"/>
    <w:basedOn w:val="1"/>
    <w:link w:val="489"/>
    <w:autoRedefine/>
    <w:semiHidden/>
    <w:qFormat/>
    <w:uiPriority w:val="0"/>
    <w:pPr>
      <w:spacing w:line="360" w:lineRule="auto"/>
      <w:ind w:firstLine="420" w:firstLineChars="200"/>
    </w:pPr>
    <w:rPr>
      <w:rFonts w:ascii="等线" w:hAnsi="等线"/>
      <w:kern w:val="0"/>
      <w:sz w:val="24"/>
    </w:rPr>
  </w:style>
  <w:style w:type="character" w:customStyle="1" w:styleId="491">
    <w:name w:val="明显强调1"/>
    <w:autoRedefine/>
    <w:qFormat/>
    <w:uiPriority w:val="21"/>
    <w:rPr>
      <w:b/>
      <w:bCs/>
      <w:i/>
      <w:iCs/>
      <w:color w:val="4F81BD"/>
    </w:rPr>
  </w:style>
  <w:style w:type="character" w:customStyle="1" w:styleId="492">
    <w:name w:val="列表段落 字符1"/>
    <w:link w:val="493"/>
    <w:autoRedefine/>
    <w:qFormat/>
    <w:uiPriority w:val="34"/>
    <w:rPr>
      <w:rFonts w:ascii="Calibri" w:hAnsi="Calibri"/>
      <w:szCs w:val="24"/>
    </w:rPr>
  </w:style>
  <w:style w:type="paragraph" w:customStyle="1" w:styleId="493">
    <w:name w:val="列表段落12"/>
    <w:basedOn w:val="1"/>
    <w:link w:val="492"/>
    <w:autoRedefine/>
    <w:qFormat/>
    <w:uiPriority w:val="34"/>
    <w:pPr>
      <w:spacing w:line="360" w:lineRule="auto"/>
      <w:ind w:firstLine="420" w:firstLineChars="200"/>
    </w:pPr>
    <w:rPr>
      <w:rFonts w:ascii="Calibri" w:hAnsi="Calibri"/>
      <w:kern w:val="0"/>
      <w:sz w:val="20"/>
    </w:rPr>
  </w:style>
  <w:style w:type="character" w:customStyle="1" w:styleId="494">
    <w:name w:val="副标题 字符1"/>
    <w:autoRedefine/>
    <w:qFormat/>
    <w:uiPriority w:val="11"/>
    <w:rPr>
      <w:b/>
      <w:bCs/>
      <w:kern w:val="28"/>
      <w:sz w:val="32"/>
      <w:szCs w:val="32"/>
    </w:rPr>
  </w:style>
  <w:style w:type="character" w:customStyle="1" w:styleId="495">
    <w:name w:val="_正文段落 Char"/>
    <w:link w:val="496"/>
    <w:autoRedefine/>
    <w:semiHidden/>
    <w:qFormat/>
    <w:uiPriority w:val="0"/>
    <w:rPr>
      <w:sz w:val="24"/>
      <w:szCs w:val="24"/>
    </w:rPr>
  </w:style>
  <w:style w:type="paragraph" w:customStyle="1" w:styleId="496">
    <w:name w:val="_正文段落"/>
    <w:basedOn w:val="1"/>
    <w:link w:val="495"/>
    <w:autoRedefine/>
    <w:semiHidden/>
    <w:qFormat/>
    <w:uiPriority w:val="0"/>
    <w:pPr>
      <w:widowControl/>
      <w:spacing w:beforeLines="15" w:afterLines="15" w:line="360" w:lineRule="auto"/>
      <w:ind w:firstLine="200" w:firstLineChars="200"/>
      <w:jc w:val="left"/>
    </w:pPr>
    <w:rPr>
      <w:kern w:val="0"/>
      <w:sz w:val="24"/>
    </w:rPr>
  </w:style>
  <w:style w:type="character" w:customStyle="1" w:styleId="497">
    <w:name w:val="图编号 Char"/>
    <w:link w:val="498"/>
    <w:autoRedefine/>
    <w:qFormat/>
    <w:uiPriority w:val="0"/>
    <w:rPr>
      <w:sz w:val="24"/>
      <w:lang w:val="zh-CN"/>
    </w:rPr>
  </w:style>
  <w:style w:type="paragraph" w:customStyle="1" w:styleId="498">
    <w:name w:val="图编号"/>
    <w:basedOn w:val="1"/>
    <w:link w:val="497"/>
    <w:autoRedefine/>
    <w:qFormat/>
    <w:uiPriority w:val="0"/>
    <w:pPr>
      <w:tabs>
        <w:tab w:val="left" w:pos="588"/>
      </w:tabs>
      <w:spacing w:beforeLines="30" w:line="360" w:lineRule="auto"/>
      <w:ind w:left="228" w:firstLine="420" w:firstLineChars="200"/>
      <w:jc w:val="center"/>
    </w:pPr>
    <w:rPr>
      <w:kern w:val="0"/>
      <w:sz w:val="24"/>
      <w:szCs w:val="20"/>
      <w:lang w:val="zh-CN"/>
    </w:rPr>
  </w:style>
  <w:style w:type="character" w:customStyle="1" w:styleId="499">
    <w:name w:val="标题3 Char"/>
    <w:link w:val="500"/>
    <w:autoRedefine/>
    <w:semiHidden/>
    <w:qFormat/>
    <w:uiPriority w:val="0"/>
    <w:rPr>
      <w:rFonts w:ascii="Arial" w:hAnsi="Arial" w:eastAsia="黑体"/>
      <w:kern w:val="44"/>
      <w:sz w:val="30"/>
      <w:lang w:val="zh-CN"/>
    </w:rPr>
  </w:style>
  <w:style w:type="paragraph" w:customStyle="1" w:styleId="500">
    <w:name w:val="标题3"/>
    <w:basedOn w:val="3"/>
    <w:next w:val="3"/>
    <w:link w:val="499"/>
    <w:autoRedefine/>
    <w:semiHidden/>
    <w:qFormat/>
    <w:uiPriority w:val="0"/>
    <w:pPr>
      <w:tabs>
        <w:tab w:val="left" w:pos="360"/>
      </w:tabs>
      <w:autoSpaceDE/>
      <w:autoSpaceDN/>
      <w:snapToGrid w:val="0"/>
      <w:spacing w:beforeLines="30" w:line="360" w:lineRule="auto"/>
      <w:ind w:left="360" w:hanging="360"/>
      <w:jc w:val="left"/>
    </w:pPr>
    <w:rPr>
      <w:b w:val="0"/>
      <w:kern w:val="44"/>
      <w:lang w:val="zh-CN"/>
    </w:rPr>
  </w:style>
  <w:style w:type="character" w:customStyle="1" w:styleId="501">
    <w:name w:val="书籍标题1"/>
    <w:autoRedefine/>
    <w:qFormat/>
    <w:uiPriority w:val="33"/>
    <w:rPr>
      <w:b/>
      <w:bCs/>
      <w:smallCaps/>
      <w:spacing w:val="5"/>
    </w:rPr>
  </w:style>
  <w:style w:type="character" w:customStyle="1" w:styleId="502">
    <w:name w:val="建议书正文 Char"/>
    <w:link w:val="503"/>
    <w:autoRedefine/>
    <w:semiHidden/>
    <w:qFormat/>
    <w:uiPriority w:val="0"/>
    <w:rPr>
      <w:rFonts w:ascii="仿宋_GB2312" w:hAnsi="仿宋" w:eastAsia="仿宋_GB2312"/>
      <w:sz w:val="28"/>
      <w:szCs w:val="30"/>
    </w:rPr>
  </w:style>
  <w:style w:type="paragraph" w:customStyle="1" w:styleId="503">
    <w:name w:val="建议书正文"/>
    <w:basedOn w:val="1"/>
    <w:link w:val="502"/>
    <w:autoRedefine/>
    <w:semiHidden/>
    <w:qFormat/>
    <w:uiPriority w:val="0"/>
    <w:pPr>
      <w:spacing w:beforeLines="30" w:line="360" w:lineRule="auto"/>
      <w:ind w:left="420" w:firstLine="420" w:firstLineChars="200"/>
    </w:pPr>
    <w:rPr>
      <w:rFonts w:ascii="仿宋_GB2312" w:hAnsi="仿宋" w:eastAsia="仿宋_GB2312"/>
      <w:kern w:val="0"/>
      <w:sz w:val="28"/>
      <w:szCs w:val="30"/>
    </w:rPr>
  </w:style>
  <w:style w:type="character" w:customStyle="1" w:styleId="504">
    <w:name w:val="样式 正文（缩进） Char"/>
    <w:link w:val="505"/>
    <w:autoRedefine/>
    <w:semiHidden/>
    <w:qFormat/>
    <w:uiPriority w:val="0"/>
    <w:rPr>
      <w:rFonts w:ascii="宋体" w:hAnsi="Calibri"/>
      <w:sz w:val="24"/>
      <w:szCs w:val="24"/>
    </w:rPr>
  </w:style>
  <w:style w:type="paragraph" w:customStyle="1" w:styleId="505">
    <w:name w:val="样式 正文（缩进）"/>
    <w:basedOn w:val="1"/>
    <w:link w:val="504"/>
    <w:autoRedefine/>
    <w:semiHidden/>
    <w:qFormat/>
    <w:uiPriority w:val="0"/>
    <w:pPr>
      <w:spacing w:beforeLines="30" w:line="360" w:lineRule="auto"/>
      <w:ind w:firstLine="480" w:firstLineChars="200"/>
      <w:jc w:val="left"/>
    </w:pPr>
    <w:rPr>
      <w:rFonts w:ascii="宋体" w:hAnsi="Calibri"/>
      <w:kern w:val="0"/>
      <w:sz w:val="24"/>
    </w:rPr>
  </w:style>
  <w:style w:type="character" w:customStyle="1" w:styleId="506">
    <w:name w:val="无"/>
    <w:autoRedefine/>
    <w:qFormat/>
    <w:uiPriority w:val="0"/>
  </w:style>
  <w:style w:type="character" w:customStyle="1" w:styleId="507">
    <w:name w:val="表格 Char"/>
    <w:link w:val="508"/>
    <w:autoRedefine/>
    <w:semiHidden/>
    <w:qFormat/>
    <w:uiPriority w:val="0"/>
    <w:rPr>
      <w:rFonts w:ascii="宋体"/>
      <w:szCs w:val="24"/>
    </w:rPr>
  </w:style>
  <w:style w:type="paragraph" w:customStyle="1" w:styleId="508">
    <w:name w:val="表格"/>
    <w:basedOn w:val="1"/>
    <w:link w:val="507"/>
    <w:autoRedefine/>
    <w:semiHidden/>
    <w:qFormat/>
    <w:uiPriority w:val="0"/>
    <w:pPr>
      <w:overflowPunct w:val="0"/>
      <w:autoSpaceDE w:val="0"/>
      <w:autoSpaceDN w:val="0"/>
      <w:adjustRightInd w:val="0"/>
      <w:spacing w:beforeLines="30" w:line="300" w:lineRule="auto"/>
      <w:ind w:firstLine="200" w:firstLineChars="200"/>
      <w:jc w:val="center"/>
    </w:pPr>
    <w:rPr>
      <w:rFonts w:ascii="宋体"/>
      <w:kern w:val="0"/>
      <w:sz w:val="20"/>
    </w:rPr>
  </w:style>
  <w:style w:type="character" w:customStyle="1" w:styleId="509">
    <w:name w:val="标题 3 字符1"/>
    <w:autoRedefine/>
    <w:qFormat/>
    <w:uiPriority w:val="0"/>
    <w:rPr>
      <w:b/>
      <w:kern w:val="2"/>
      <w:sz w:val="32"/>
      <w:lang w:val="zh-CN" w:eastAsia="zh-CN"/>
    </w:rPr>
  </w:style>
  <w:style w:type="paragraph" w:customStyle="1" w:styleId="510">
    <w:name w:val="样式 (西文) 宋体 小四 行距: 1.5 倍行距 首行缩进:  2 字符"/>
    <w:basedOn w:val="1"/>
    <w:autoRedefine/>
    <w:qFormat/>
    <w:uiPriority w:val="0"/>
    <w:pPr>
      <w:spacing w:before="100" w:beforeAutospacing="1" w:after="100" w:afterAutospacing="1" w:line="360" w:lineRule="auto"/>
      <w:ind w:firstLine="200" w:firstLineChars="200"/>
    </w:pPr>
    <w:rPr>
      <w:rFonts w:ascii="宋体" w:hAnsi="宋体" w:cs="宋体"/>
      <w:sz w:val="24"/>
      <w:szCs w:val="20"/>
    </w:rPr>
  </w:style>
  <w:style w:type="paragraph" w:customStyle="1" w:styleId="511">
    <w:name w:val="_Style 3"/>
    <w:basedOn w:val="1"/>
    <w:autoRedefine/>
    <w:qFormat/>
    <w:uiPriority w:val="34"/>
    <w:pPr>
      <w:spacing w:line="360" w:lineRule="auto"/>
      <w:ind w:firstLine="420" w:firstLineChars="200"/>
    </w:pPr>
    <w:rPr>
      <w:rFonts w:ascii="宋体" w:hAnsi="宋体"/>
      <w:szCs w:val="22"/>
    </w:rPr>
  </w:style>
  <w:style w:type="paragraph" w:customStyle="1" w:styleId="512">
    <w:name w:val="正缩2"/>
    <w:basedOn w:val="1"/>
    <w:autoRedefine/>
    <w:qFormat/>
    <w:uiPriority w:val="0"/>
    <w:pPr>
      <w:spacing w:line="360" w:lineRule="auto"/>
      <w:ind w:firstLine="560" w:firstLineChars="200"/>
    </w:pPr>
    <w:rPr>
      <w:rFonts w:ascii="仿宋_GB2312" w:hAnsi="宋体"/>
      <w:kern w:val="0"/>
      <w:szCs w:val="28"/>
    </w:rPr>
  </w:style>
  <w:style w:type="paragraph" w:customStyle="1" w:styleId="513">
    <w:name w:val="msonormal"/>
    <w:basedOn w:val="1"/>
    <w:autoRedefine/>
    <w:qFormat/>
    <w:uiPriority w:val="0"/>
    <w:pPr>
      <w:widowControl/>
      <w:spacing w:before="100" w:beforeAutospacing="1" w:after="100" w:afterAutospacing="1" w:line="360" w:lineRule="auto"/>
      <w:ind w:firstLine="420" w:firstLineChars="200"/>
      <w:jc w:val="left"/>
    </w:pPr>
    <w:rPr>
      <w:rFonts w:ascii="宋体" w:hAnsi="宋体" w:cs="宋体"/>
      <w:kern w:val="0"/>
      <w:sz w:val="24"/>
    </w:rPr>
  </w:style>
  <w:style w:type="paragraph" w:customStyle="1" w:styleId="514">
    <w:name w:val="xl95"/>
    <w:basedOn w:val="1"/>
    <w:autoRedefine/>
    <w:qFormat/>
    <w:uiPriority w:val="0"/>
    <w:pPr>
      <w:widowControl/>
      <w:pBdr>
        <w:top w:val="single" w:color="auto" w:sz="4" w:space="0"/>
        <w:bottom w:val="single" w:color="auto" w:sz="4" w:space="0"/>
      </w:pBdr>
      <w:spacing w:before="100" w:beforeAutospacing="1" w:after="100" w:afterAutospacing="1" w:line="360" w:lineRule="auto"/>
      <w:ind w:firstLine="420" w:firstLineChars="200"/>
      <w:jc w:val="left"/>
      <w:textAlignment w:val="bottom"/>
    </w:pPr>
    <w:rPr>
      <w:rFonts w:ascii="宋体" w:hAnsi="宋体" w:cs="宋体"/>
      <w:b/>
      <w:bCs/>
      <w:kern w:val="0"/>
      <w:sz w:val="20"/>
      <w:szCs w:val="20"/>
    </w:rPr>
  </w:style>
  <w:style w:type="paragraph" w:customStyle="1" w:styleId="515">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420" w:firstLineChars="200"/>
      <w:jc w:val="center"/>
      <w:textAlignment w:val="center"/>
    </w:pPr>
    <w:rPr>
      <w:rFonts w:ascii="宋体" w:hAnsi="宋体" w:cs="宋体"/>
      <w:kern w:val="0"/>
      <w:sz w:val="20"/>
      <w:szCs w:val="20"/>
    </w:rPr>
  </w:style>
  <w:style w:type="paragraph" w:customStyle="1" w:styleId="516">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1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pPr>
    <w:rPr>
      <w:rFonts w:ascii="宋体" w:hAnsi="宋体" w:cs="宋体"/>
      <w:kern w:val="0"/>
      <w:sz w:val="20"/>
      <w:szCs w:val="20"/>
    </w:rPr>
  </w:style>
  <w:style w:type="paragraph" w:customStyle="1" w:styleId="518">
    <w:name w:val="xl7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line="360" w:lineRule="auto"/>
      <w:ind w:firstLine="420" w:firstLineChars="200"/>
      <w:jc w:val="center"/>
      <w:textAlignment w:val="center"/>
    </w:pPr>
    <w:rPr>
      <w:rFonts w:ascii="宋体" w:hAnsi="宋体" w:cs="宋体"/>
      <w:kern w:val="0"/>
      <w:sz w:val="20"/>
      <w:szCs w:val="20"/>
    </w:rPr>
  </w:style>
  <w:style w:type="paragraph" w:customStyle="1" w:styleId="51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pPr>
    <w:rPr>
      <w:rFonts w:ascii="宋体" w:hAnsi="宋体" w:cs="宋体"/>
      <w:kern w:val="0"/>
      <w:sz w:val="20"/>
      <w:szCs w:val="20"/>
    </w:rPr>
  </w:style>
  <w:style w:type="paragraph" w:customStyle="1" w:styleId="520">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420" w:firstLineChars="200"/>
      <w:jc w:val="left"/>
      <w:textAlignment w:val="bottom"/>
    </w:pPr>
    <w:rPr>
      <w:rFonts w:ascii="宋体" w:hAnsi="宋体" w:cs="宋体"/>
      <w:b/>
      <w:bCs/>
      <w:kern w:val="0"/>
      <w:sz w:val="20"/>
      <w:szCs w:val="20"/>
    </w:rPr>
  </w:style>
  <w:style w:type="paragraph" w:customStyle="1" w:styleId="521">
    <w:name w:val="xl7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22">
    <w:name w:val="xl85"/>
    <w:basedOn w:val="1"/>
    <w:autoRedefine/>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pPr>
    <w:rPr>
      <w:rFonts w:ascii="宋体" w:hAnsi="宋体" w:cs="宋体"/>
      <w:kern w:val="0"/>
      <w:sz w:val="20"/>
      <w:szCs w:val="20"/>
    </w:rPr>
  </w:style>
  <w:style w:type="paragraph" w:customStyle="1" w:styleId="524">
    <w:name w:val="xl7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2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26">
    <w:name w:val="xl7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27">
    <w:name w:val="样式 Arial 小四 首行缩进:  0.85 厘米"/>
    <w:basedOn w:val="1"/>
    <w:autoRedefine/>
    <w:qFormat/>
    <w:uiPriority w:val="0"/>
    <w:pPr>
      <w:tabs>
        <w:tab w:val="left" w:pos="945"/>
        <w:tab w:val="left" w:pos="5580"/>
      </w:tabs>
      <w:spacing w:line="360" w:lineRule="auto"/>
      <w:ind w:firstLine="480" w:firstLineChars="200"/>
    </w:pPr>
    <w:rPr>
      <w:rFonts w:ascii="宋体" w:hAnsi="宋体" w:cs="宋体"/>
      <w:sz w:val="24"/>
      <w:szCs w:val="20"/>
    </w:rPr>
  </w:style>
  <w:style w:type="paragraph" w:customStyle="1" w:styleId="528">
    <w:name w:val="列表样式(一级)"/>
    <w:basedOn w:val="1"/>
    <w:autoRedefine/>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529">
    <w:name w:val="样式 标题 2 + Times New Roman 四号 非加粗 段前: 5 磅 段后: 0 磅 行距: 固定值 20..."/>
    <w:basedOn w:val="3"/>
    <w:autoRedefine/>
    <w:qFormat/>
    <w:uiPriority w:val="0"/>
    <w:pPr>
      <w:autoSpaceDE/>
      <w:autoSpaceDN/>
      <w:adjustRightInd/>
      <w:spacing w:before="0" w:line="400" w:lineRule="exact"/>
      <w:jc w:val="both"/>
    </w:pPr>
    <w:rPr>
      <w:rFonts w:ascii="Times New Roman" w:hAnsi="Times New Roman" w:cs="宋体"/>
      <w:kern w:val="2"/>
      <w:sz w:val="28"/>
    </w:rPr>
  </w:style>
  <w:style w:type="paragraph" w:customStyle="1" w:styleId="530">
    <w:name w:val="1)"/>
    <w:basedOn w:val="1"/>
    <w:autoRedefine/>
    <w:qFormat/>
    <w:uiPriority w:val="0"/>
    <w:pPr>
      <w:numPr>
        <w:ilvl w:val="0"/>
        <w:numId w:val="13"/>
      </w:numPr>
      <w:autoSpaceDE w:val="0"/>
      <w:autoSpaceDN w:val="0"/>
      <w:adjustRightInd w:val="0"/>
      <w:spacing w:beforeLines="30" w:line="360" w:lineRule="auto"/>
      <w:ind w:firstLine="200" w:firstLineChars="200"/>
    </w:pPr>
    <w:rPr>
      <w:rFonts w:cs="宋体"/>
      <w:kern w:val="0"/>
      <w:sz w:val="24"/>
      <w:szCs w:val="20"/>
      <w:lang w:val="zh-CN"/>
    </w:rPr>
  </w:style>
  <w:style w:type="paragraph" w:customStyle="1" w:styleId="531">
    <w:name w:val="DLP正文"/>
    <w:basedOn w:val="1"/>
    <w:autoRedefine/>
    <w:qFormat/>
    <w:uiPriority w:val="0"/>
    <w:pPr>
      <w:snapToGrid w:val="0"/>
      <w:spacing w:line="360" w:lineRule="auto"/>
      <w:ind w:firstLine="473"/>
    </w:pPr>
    <w:rPr>
      <w:rFonts w:hAnsi="宋体"/>
      <w:sz w:val="24"/>
      <w:szCs w:val="22"/>
    </w:rPr>
  </w:style>
  <w:style w:type="paragraph" w:customStyle="1" w:styleId="532">
    <w:name w:val="表格标题"/>
    <w:basedOn w:val="1"/>
    <w:autoRedefine/>
    <w:qFormat/>
    <w:uiPriority w:val="0"/>
    <w:pPr>
      <w:spacing w:before="40" w:after="60" w:line="220" w:lineRule="exact"/>
    </w:pPr>
    <w:rPr>
      <w:rFonts w:ascii="Arial" w:hAnsi="Arial" w:eastAsia="黑体" w:cs="黑体"/>
      <w:color w:val="007CA8"/>
      <w:kern w:val="0"/>
      <w:sz w:val="18"/>
      <w:szCs w:val="13"/>
    </w:rPr>
  </w:style>
  <w:style w:type="paragraph" w:customStyle="1" w:styleId="53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3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bottom"/>
    </w:pPr>
    <w:rPr>
      <w:rFonts w:ascii="宋体" w:hAnsi="宋体" w:cs="宋体"/>
      <w:kern w:val="0"/>
      <w:sz w:val="24"/>
    </w:rPr>
  </w:style>
  <w:style w:type="paragraph" w:customStyle="1" w:styleId="535">
    <w:name w:val="列表段落1"/>
    <w:basedOn w:val="1"/>
    <w:next w:val="159"/>
    <w:autoRedefine/>
    <w:qFormat/>
    <w:uiPriority w:val="99"/>
    <w:pPr>
      <w:ind w:firstLine="420" w:firstLineChars="200"/>
    </w:pPr>
    <w:rPr>
      <w:rFonts w:ascii="Calibri" w:hAnsi="Calibri"/>
      <w:szCs w:val="22"/>
      <w:lang w:val="zh-CN"/>
    </w:rPr>
  </w:style>
  <w:style w:type="paragraph" w:customStyle="1" w:styleId="536">
    <w:name w:val="a1 正文"/>
    <w:basedOn w:val="1"/>
    <w:autoRedefine/>
    <w:qFormat/>
    <w:uiPriority w:val="0"/>
  </w:style>
  <w:style w:type="paragraph" w:customStyle="1" w:styleId="537">
    <w:name w:val="图片"/>
    <w:basedOn w:val="1"/>
    <w:autoRedefine/>
    <w:qFormat/>
    <w:uiPriority w:val="0"/>
    <w:pPr>
      <w:spacing w:before="80" w:after="40"/>
      <w:jc w:val="center"/>
    </w:pPr>
    <w:rPr>
      <w:rFonts w:ascii="Arial" w:hAnsi="Arial" w:cs="黑体"/>
      <w:sz w:val="18"/>
      <w:szCs w:val="21"/>
    </w:rPr>
  </w:style>
  <w:style w:type="paragraph" w:customStyle="1" w:styleId="538">
    <w:name w:val="Item List"/>
    <w:basedOn w:val="1"/>
    <w:autoRedefine/>
    <w:qFormat/>
    <w:uiPriority w:val="0"/>
    <w:pPr>
      <w:spacing w:before="120" w:after="40"/>
      <w:jc w:val="left"/>
    </w:pPr>
    <w:rPr>
      <w:rFonts w:ascii="Arial" w:hAnsi="Arial"/>
      <w:kern w:val="0"/>
      <w:sz w:val="18"/>
      <w:szCs w:val="13"/>
    </w:rPr>
  </w:style>
  <w:style w:type="paragraph" w:customStyle="1" w:styleId="539">
    <w:name w:val="xl84"/>
    <w:basedOn w:val="1"/>
    <w:autoRedefine/>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40">
    <w:name w:val="xl83"/>
    <w:basedOn w:val="1"/>
    <w:autoRedefine/>
    <w:qFormat/>
    <w:uiPriority w:val="0"/>
    <w:pPr>
      <w:widowControl/>
      <w:spacing w:before="100" w:beforeAutospacing="1" w:after="100" w:afterAutospacing="1" w:line="360" w:lineRule="auto"/>
      <w:ind w:firstLine="420" w:firstLineChars="200"/>
      <w:jc w:val="center"/>
    </w:pPr>
    <w:rPr>
      <w:rFonts w:ascii="宋体" w:hAnsi="宋体" w:cs="宋体"/>
      <w:kern w:val="0"/>
      <w:sz w:val="24"/>
    </w:rPr>
  </w:style>
  <w:style w:type="paragraph" w:customStyle="1" w:styleId="541">
    <w:name w:val="1."/>
    <w:basedOn w:val="1"/>
    <w:autoRedefine/>
    <w:qFormat/>
    <w:uiPriority w:val="0"/>
    <w:pPr>
      <w:tabs>
        <w:tab w:val="left" w:pos="315"/>
      </w:tabs>
      <w:autoSpaceDE w:val="0"/>
      <w:autoSpaceDN w:val="0"/>
      <w:adjustRightInd w:val="0"/>
      <w:spacing w:beforeLines="30" w:line="360" w:lineRule="auto"/>
      <w:ind w:left="315" w:firstLine="200" w:firstLineChars="200"/>
    </w:pPr>
    <w:rPr>
      <w:rFonts w:cs="宋体"/>
      <w:kern w:val="0"/>
      <w:sz w:val="24"/>
      <w:szCs w:val="20"/>
      <w:lang w:val="zh-CN"/>
    </w:rPr>
  </w:style>
  <w:style w:type="paragraph" w:customStyle="1" w:styleId="542">
    <w:name w:val="a01"/>
    <w:basedOn w:val="1"/>
    <w:autoRedefine/>
    <w:qFormat/>
    <w:uiPriority w:val="0"/>
    <w:pPr>
      <w:widowControl/>
      <w:spacing w:after="86" w:line="215" w:lineRule="atLeast"/>
      <w:jc w:val="left"/>
    </w:pPr>
    <w:rPr>
      <w:rFonts w:ascii="宋体" w:hAnsi="宋体" w:cs="宋体"/>
      <w:kern w:val="0"/>
      <w:sz w:val="13"/>
      <w:szCs w:val="13"/>
    </w:rPr>
  </w:style>
  <w:style w:type="paragraph" w:customStyle="1" w:styleId="543">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544">
    <w:name w:val="xl88"/>
    <w:basedOn w:val="1"/>
    <w:autoRedefine/>
    <w:qFormat/>
    <w:uiPriority w:val="0"/>
    <w:pPr>
      <w:widowControl/>
      <w:pBdr>
        <w:left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45">
    <w:name w:val="无间隔2"/>
    <w:autoRedefine/>
    <w:qFormat/>
    <w:uiPriority w:val="1"/>
    <w:rPr>
      <w:rFonts w:ascii="Calibri" w:hAnsi="Calibri" w:eastAsia="宋体" w:cs="Times New Roman"/>
      <w:sz w:val="22"/>
      <w:szCs w:val="21"/>
      <w:lang w:val="en-US" w:eastAsia="en-US" w:bidi="en-US"/>
    </w:rPr>
  </w:style>
  <w:style w:type="paragraph" w:customStyle="1" w:styleId="546">
    <w:name w:val="TOC 标题11"/>
    <w:basedOn w:val="2"/>
    <w:next w:val="1"/>
    <w:autoRedefine/>
    <w:qFormat/>
    <w:uiPriority w:val="39"/>
    <w:pPr>
      <w:tabs>
        <w:tab w:val="left" w:pos="330"/>
      </w:tabs>
      <w:autoSpaceDE/>
      <w:autoSpaceDN/>
      <w:adjustRightInd/>
      <w:spacing w:before="0" w:after="0" w:line="259" w:lineRule="auto"/>
      <w:ind w:left="330"/>
      <w:jc w:val="both"/>
      <w:outlineLvl w:val="9"/>
    </w:pPr>
    <w:rPr>
      <w:rFonts w:ascii="Cambria" w:hAnsi="Cambria"/>
      <w:b w:val="0"/>
      <w:color w:val="365F91"/>
      <w:kern w:val="0"/>
      <w:szCs w:val="32"/>
    </w:rPr>
  </w:style>
  <w:style w:type="paragraph" w:customStyle="1" w:styleId="547">
    <w:name w:val="(1)"/>
    <w:basedOn w:val="1"/>
    <w:autoRedefine/>
    <w:qFormat/>
    <w:uiPriority w:val="0"/>
    <w:pPr>
      <w:tabs>
        <w:tab w:val="left" w:pos="315"/>
      </w:tabs>
      <w:autoSpaceDE w:val="0"/>
      <w:autoSpaceDN w:val="0"/>
      <w:adjustRightInd w:val="0"/>
      <w:spacing w:beforeLines="30" w:line="360" w:lineRule="auto"/>
      <w:ind w:firstLine="200" w:firstLineChars="200"/>
    </w:pPr>
    <w:rPr>
      <w:rFonts w:cs="宋体"/>
      <w:kern w:val="0"/>
      <w:sz w:val="24"/>
      <w:szCs w:val="20"/>
      <w:lang w:val="zh-CN"/>
    </w:rPr>
  </w:style>
  <w:style w:type="paragraph" w:customStyle="1" w:styleId="548">
    <w:name w:val="font10"/>
    <w:basedOn w:val="1"/>
    <w:autoRedefine/>
    <w:qFormat/>
    <w:uiPriority w:val="0"/>
    <w:pPr>
      <w:widowControl/>
      <w:spacing w:before="100" w:beforeAutospacing="1" w:after="100" w:afterAutospacing="1" w:line="360" w:lineRule="auto"/>
      <w:ind w:firstLine="420" w:firstLineChars="200"/>
      <w:jc w:val="left"/>
    </w:pPr>
    <w:rPr>
      <w:rFonts w:ascii="宋体" w:hAnsi="宋体" w:cs="宋体"/>
      <w:kern w:val="0"/>
      <w:sz w:val="18"/>
      <w:szCs w:val="18"/>
    </w:rPr>
  </w:style>
  <w:style w:type="paragraph" w:customStyle="1" w:styleId="5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420" w:firstLineChars="200"/>
      <w:jc w:val="left"/>
      <w:textAlignment w:val="center"/>
    </w:pPr>
    <w:rPr>
      <w:rFonts w:ascii="宋体" w:hAnsi="宋体" w:cs="宋体"/>
      <w:kern w:val="0"/>
      <w:sz w:val="20"/>
      <w:szCs w:val="20"/>
    </w:rPr>
  </w:style>
  <w:style w:type="paragraph" w:customStyle="1" w:styleId="550">
    <w:name w:val="a41"/>
    <w:basedOn w:val="1"/>
    <w:autoRedefine/>
    <w:qFormat/>
    <w:uiPriority w:val="0"/>
    <w:pPr>
      <w:widowControl/>
      <w:spacing w:line="230" w:lineRule="atLeast"/>
      <w:jc w:val="left"/>
    </w:pPr>
    <w:rPr>
      <w:rFonts w:ascii="宋体" w:hAnsi="宋体" w:cs="宋体"/>
      <w:kern w:val="0"/>
      <w:sz w:val="14"/>
      <w:szCs w:val="14"/>
    </w:rPr>
  </w:style>
  <w:style w:type="character" w:customStyle="1" w:styleId="551">
    <w:name w:val="正文首行缩进 2 Char"/>
    <w:basedOn w:val="296"/>
    <w:autoRedefine/>
    <w:qFormat/>
    <w:uiPriority w:val="99"/>
    <w:rPr>
      <w:kern w:val="2"/>
      <w:sz w:val="21"/>
    </w:rPr>
  </w:style>
  <w:style w:type="paragraph" w:customStyle="1" w:styleId="552">
    <w:name w:val="5级目录"/>
    <w:basedOn w:val="1"/>
    <w:link w:val="553"/>
    <w:autoRedefine/>
    <w:qFormat/>
    <w:uiPriority w:val="0"/>
    <w:pPr>
      <w:keepNext/>
      <w:keepLines/>
      <w:spacing w:before="240" w:after="120" w:line="360" w:lineRule="auto"/>
      <w:outlineLvl w:val="4"/>
    </w:pPr>
    <w:rPr>
      <w:rFonts w:ascii="宋体" w:hAnsi="宋体"/>
      <w:b/>
      <w:bCs/>
      <w:sz w:val="24"/>
    </w:rPr>
  </w:style>
  <w:style w:type="character" w:customStyle="1" w:styleId="553">
    <w:name w:val="5级目录 Char"/>
    <w:basedOn w:val="54"/>
    <w:link w:val="552"/>
    <w:autoRedefine/>
    <w:qFormat/>
    <w:uiPriority w:val="0"/>
    <w:rPr>
      <w:rFonts w:ascii="宋体" w:hAnsi="宋体"/>
      <w:b/>
      <w:bCs/>
      <w:kern w:val="2"/>
      <w:sz w:val="24"/>
      <w:szCs w:val="24"/>
    </w:rPr>
  </w:style>
  <w:style w:type="paragraph" w:customStyle="1" w:styleId="554">
    <w:name w:val="样式3"/>
    <w:basedOn w:val="1"/>
    <w:link w:val="555"/>
    <w:autoRedefine/>
    <w:qFormat/>
    <w:uiPriority w:val="0"/>
    <w:pPr>
      <w:keepNext/>
      <w:keepLines/>
      <w:spacing w:before="240" w:after="120" w:line="360" w:lineRule="auto"/>
      <w:jc w:val="left"/>
      <w:outlineLvl w:val="1"/>
    </w:pPr>
    <w:rPr>
      <w:rFonts w:ascii="宋体" w:hAnsi="宋体"/>
      <w:b/>
      <w:sz w:val="30"/>
      <w:szCs w:val="30"/>
    </w:rPr>
  </w:style>
  <w:style w:type="character" w:customStyle="1" w:styleId="555">
    <w:name w:val="样式3 Char"/>
    <w:basedOn w:val="54"/>
    <w:link w:val="554"/>
    <w:autoRedefine/>
    <w:qFormat/>
    <w:uiPriority w:val="0"/>
    <w:rPr>
      <w:rFonts w:ascii="宋体" w:hAnsi="宋体"/>
      <w:b/>
      <w:kern w:val="2"/>
      <w:sz w:val="30"/>
      <w:szCs w:val="30"/>
    </w:rPr>
  </w:style>
  <w:style w:type="character" w:customStyle="1" w:styleId="556">
    <w:name w:val="访问过的超链接11"/>
    <w:autoRedefine/>
    <w:qFormat/>
    <w:uiPriority w:val="99"/>
    <w:rPr>
      <w:color w:val="800080"/>
      <w:u w:val="single"/>
    </w:rPr>
  </w:style>
  <w:style w:type="paragraph" w:customStyle="1" w:styleId="557">
    <w:name w:val="Char Char Char1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58">
    <w:name w:val="Style1"/>
    <w:basedOn w:val="1"/>
    <w:autoRedefine/>
    <w:qFormat/>
    <w:uiPriority w:val="0"/>
    <w:pPr>
      <w:widowControl/>
      <w:tabs>
        <w:tab w:val="left" w:pos="-720"/>
      </w:tabs>
      <w:spacing w:after="120"/>
    </w:pPr>
    <w:rPr>
      <w:spacing w:val="-3"/>
      <w:kern w:val="0"/>
      <w:sz w:val="24"/>
      <w:szCs w:val="20"/>
    </w:rPr>
  </w:style>
  <w:style w:type="character" w:customStyle="1" w:styleId="559">
    <w:name w:val="NormalCharacter"/>
    <w:autoRedefine/>
    <w:qFormat/>
    <w:uiPriority w:val="0"/>
  </w:style>
  <w:style w:type="paragraph" w:customStyle="1" w:styleId="560">
    <w:name w:val="zhang"/>
    <w:basedOn w:val="1"/>
    <w:autoRedefine/>
    <w:qFormat/>
    <w:uiPriority w:val="0"/>
    <w:pPr>
      <w:spacing w:before="100" w:beforeAutospacing="1" w:after="100" w:afterAutospacing="1"/>
    </w:pPr>
    <w:rPr>
      <w:b/>
      <w:bCs/>
      <w:smallCaps/>
      <w:color w:val="000000"/>
      <w:sz w:val="20"/>
      <w:szCs w:val="20"/>
    </w:rPr>
  </w:style>
  <w:style w:type="paragraph" w:customStyle="1" w:styleId="561">
    <w:name w:val="p0"/>
    <w:basedOn w:val="1"/>
    <w:autoRedefine/>
    <w:qFormat/>
    <w:uiPriority w:val="0"/>
    <w:rPr>
      <w:szCs w:val="21"/>
    </w:rPr>
  </w:style>
  <w:style w:type="character" w:customStyle="1" w:styleId="562">
    <w:name w:val="15"/>
    <w:autoRedefine/>
    <w:qFormat/>
    <w:uiPriority w:val="0"/>
    <w:rPr>
      <w:rFonts w:hint="default" w:ascii="Times New Roman" w:hAnsi="Times New Roman" w:cs="Times New Roman"/>
      <w:color w:val="464445"/>
      <w:u w:val="none"/>
    </w:rPr>
  </w:style>
  <w:style w:type="character" w:customStyle="1" w:styleId="563">
    <w:name w:val="unnamed1"/>
    <w:autoRedefine/>
    <w:qFormat/>
    <w:uiPriority w:val="0"/>
  </w:style>
  <w:style w:type="paragraph" w:customStyle="1" w:styleId="564">
    <w:name w:val="A_正文"/>
    <w:basedOn w:val="1"/>
    <w:qFormat/>
    <w:uiPriority w:val="0"/>
    <w:pPr>
      <w:widowControl/>
      <w:spacing w:line="360" w:lineRule="auto"/>
      <w:ind w:firstLine="42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0392D-BA27-4C31-A3C5-628F0B65AFA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18489</Words>
  <Characters>19159</Characters>
  <Lines>41</Lines>
  <Paragraphs>62</Paragraphs>
  <TotalTime>7</TotalTime>
  <ScaleCrop>false</ScaleCrop>
  <LinksUpToDate>false</LinksUpToDate>
  <CharactersWithSpaces>19440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2023-12-01T02:48:00Z</dcterms:created>
  <dc:creator>尹皓</dc:creator>
  <cp:lastModifiedBy>✨✨</cp:lastModifiedBy>
  <cp:lastPrinted>2023-09-27T19:47:00Z</cp:lastPrinted>
  <dcterms:modified xsi:type="dcterms:W3CDTF">2025-09-03T09:08:30Z</dcterms:modified>
  <dc:title>02年杜范本稿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2C60C1EDA49C4C45A37DF403CEF8BA22_13</vt:lpwstr>
  </property>
  <property fmtid="{D5CDD505-2E9C-101B-9397-08002B2CF9AE}" pid="3" name="KSOProductBuildVer">
    <vt:lpwstr>2052-12.1.0.21915</vt:lpwstr>
  </property>
  <property fmtid="{D5CDD505-2E9C-101B-9397-08002B2CF9AE}" pid="4" name="KSOTemplateDocerSaveRecord">
    <vt:lpwstr>eyJoZGlkIjoiZWE1ZmQ5NGM4Njg3YmZmOTgwZGE1ZGJhNmYyMjFjZTEiLCJ1c2VySWQiOiIzNjg1NTIyNzkifQ==</vt:lpwstr>
  </property>
</Properties>
</file>