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360" w:lineRule="auto"/>
        <w:contextualSpacing/>
        <w:jc w:val="both"/>
        <w:rPr>
          <w:rFonts w:ascii="方正小标宋简体" w:eastAsia="方正小标宋简体"/>
          <w:sz w:val="44"/>
          <w:szCs w:val="44"/>
        </w:rPr>
      </w:pPr>
    </w:p>
    <w:p>
      <w:pPr>
        <w:spacing w:line="276" w:lineRule="auto"/>
        <w:contextualSpacing/>
        <w:jc w:val="center"/>
        <w:rPr>
          <w:rFonts w:hint="default" w:ascii="黑体" w:hAnsi="黑体" w:eastAsia="黑体"/>
          <w:b/>
          <w:sz w:val="48"/>
          <w:szCs w:val="28"/>
          <w:lang w:val="en-US" w:eastAsia="zh-CN"/>
        </w:rPr>
      </w:pPr>
      <w:r>
        <w:rPr>
          <w:rFonts w:hint="eastAsia" w:ascii="黑体" w:hAnsi="黑体" w:eastAsia="黑体"/>
          <w:b/>
          <w:sz w:val="48"/>
          <w:szCs w:val="28"/>
        </w:rPr>
        <w:t>顺义区农村污水处理与再生水利用设施运行监测系统运行维护项目</w:t>
      </w:r>
    </w:p>
    <w:p>
      <w:pPr>
        <w:spacing w:line="360" w:lineRule="auto"/>
        <w:contextualSpacing/>
        <w:jc w:val="center"/>
        <w:rPr>
          <w:rFonts w:ascii="宋体" w:hAnsi="宋体" w:eastAsia="宋体"/>
          <w:sz w:val="44"/>
          <w:szCs w:val="44"/>
        </w:rPr>
      </w:pPr>
    </w:p>
    <w:p>
      <w:pPr>
        <w:spacing w:line="360" w:lineRule="auto"/>
        <w:contextualSpacing/>
        <w:jc w:val="center"/>
        <w:rPr>
          <w:rFonts w:ascii="宋体" w:hAnsi="宋体" w:eastAsia="宋体"/>
          <w:b/>
          <w:sz w:val="72"/>
          <w:szCs w:val="72"/>
        </w:rPr>
      </w:pPr>
      <w:r>
        <w:rPr>
          <w:rFonts w:hint="eastAsia" w:ascii="宋体" w:hAnsi="宋体" w:eastAsia="宋体"/>
          <w:b/>
          <w:sz w:val="72"/>
          <w:szCs w:val="72"/>
        </w:rPr>
        <w:t>比选文件</w:t>
      </w:r>
    </w:p>
    <w:p>
      <w:pPr>
        <w:spacing w:line="360" w:lineRule="auto"/>
        <w:ind w:firstLine="880"/>
        <w:jc w:val="center"/>
        <w:rPr>
          <w:rFonts w:ascii="宋体" w:hAnsi="宋体" w:eastAsia="宋体"/>
          <w:b/>
          <w:sz w:val="44"/>
          <w:szCs w:val="44"/>
        </w:rPr>
      </w:pPr>
    </w:p>
    <w:p>
      <w:pPr>
        <w:spacing w:line="360" w:lineRule="auto"/>
        <w:ind w:firstLine="880"/>
        <w:jc w:val="center"/>
        <w:rPr>
          <w:rFonts w:ascii="宋体" w:hAnsi="宋体" w:eastAsia="宋体"/>
          <w:b/>
          <w:sz w:val="44"/>
          <w:szCs w:val="44"/>
        </w:rPr>
      </w:pPr>
    </w:p>
    <w:p>
      <w:pPr>
        <w:spacing w:line="360" w:lineRule="auto"/>
        <w:ind w:firstLine="880"/>
        <w:jc w:val="center"/>
        <w:rPr>
          <w:rFonts w:ascii="宋体" w:hAnsi="宋体" w:eastAsia="宋体"/>
          <w:b/>
          <w:sz w:val="44"/>
          <w:szCs w:val="44"/>
        </w:rPr>
      </w:pPr>
    </w:p>
    <w:p>
      <w:pPr>
        <w:spacing w:line="360" w:lineRule="auto"/>
        <w:ind w:firstLine="880"/>
        <w:jc w:val="center"/>
        <w:rPr>
          <w:rFonts w:ascii="宋体" w:hAnsi="宋体" w:eastAsia="宋体"/>
          <w:b/>
          <w:sz w:val="44"/>
          <w:szCs w:val="44"/>
        </w:rPr>
      </w:pPr>
    </w:p>
    <w:p>
      <w:pPr>
        <w:spacing w:line="360" w:lineRule="auto"/>
        <w:ind w:firstLine="560"/>
        <w:jc w:val="center"/>
        <w:rPr>
          <w:rFonts w:ascii="宋体" w:hAnsi="宋体" w:eastAsia="宋体"/>
          <w:sz w:val="28"/>
          <w:szCs w:val="28"/>
        </w:rPr>
      </w:pPr>
    </w:p>
    <w:p>
      <w:pPr>
        <w:spacing w:line="360" w:lineRule="auto"/>
        <w:ind w:firstLine="560"/>
        <w:jc w:val="center"/>
        <w:rPr>
          <w:rFonts w:ascii="宋体" w:hAnsi="宋体" w:eastAsia="宋体"/>
          <w:sz w:val="28"/>
          <w:szCs w:val="28"/>
        </w:rPr>
      </w:pPr>
    </w:p>
    <w:p>
      <w:pPr>
        <w:spacing w:line="360" w:lineRule="auto"/>
        <w:ind w:firstLine="560"/>
        <w:jc w:val="center"/>
        <w:rPr>
          <w:rFonts w:ascii="宋体" w:hAnsi="宋体" w:eastAsia="宋体"/>
          <w:sz w:val="28"/>
          <w:szCs w:val="28"/>
        </w:rPr>
      </w:pPr>
    </w:p>
    <w:p>
      <w:pPr>
        <w:spacing w:line="360" w:lineRule="auto"/>
        <w:ind w:firstLine="560"/>
        <w:jc w:val="center"/>
        <w:rPr>
          <w:rFonts w:ascii="宋体" w:hAnsi="宋体" w:eastAsia="宋体"/>
          <w:sz w:val="28"/>
          <w:szCs w:val="28"/>
        </w:rPr>
      </w:pPr>
    </w:p>
    <w:p>
      <w:pPr>
        <w:spacing w:line="360" w:lineRule="auto"/>
        <w:ind w:firstLine="560"/>
        <w:jc w:val="center"/>
        <w:rPr>
          <w:rFonts w:ascii="宋体" w:hAnsi="宋体" w:eastAsia="宋体"/>
          <w:sz w:val="28"/>
          <w:szCs w:val="28"/>
        </w:rPr>
      </w:pPr>
    </w:p>
    <w:p>
      <w:pPr>
        <w:spacing w:line="360" w:lineRule="auto"/>
        <w:ind w:firstLine="560"/>
        <w:jc w:val="center"/>
        <w:rPr>
          <w:rFonts w:ascii="宋体" w:hAnsi="宋体" w:eastAsia="宋体"/>
          <w:sz w:val="28"/>
          <w:szCs w:val="28"/>
        </w:rPr>
      </w:pPr>
    </w:p>
    <w:p>
      <w:pPr>
        <w:spacing w:line="360" w:lineRule="auto"/>
        <w:jc w:val="center"/>
        <w:rPr>
          <w:rFonts w:ascii="宋体" w:hAnsi="宋体" w:eastAsia="宋体"/>
          <w:sz w:val="28"/>
          <w:szCs w:val="28"/>
        </w:rPr>
      </w:pPr>
      <w:r>
        <w:rPr>
          <w:rFonts w:hint="eastAsia" w:ascii="宋体" w:hAnsi="宋体" w:eastAsia="宋体"/>
          <w:sz w:val="28"/>
          <w:szCs w:val="28"/>
        </w:rPr>
        <w:t>北京市顺义区水务局</w:t>
      </w:r>
    </w:p>
    <w:p>
      <w:pPr>
        <w:jc w:val="center"/>
        <w:rPr>
          <w:rFonts w:ascii="宋体" w:hAnsi="宋体" w:eastAsia="宋体"/>
          <w:sz w:val="28"/>
          <w:szCs w:val="28"/>
        </w:rPr>
      </w:pPr>
      <w:r>
        <w:rPr>
          <w:rFonts w:hint="eastAsia" w:ascii="宋体" w:hAnsi="宋体" w:eastAsia="宋体"/>
          <w:sz w:val="28"/>
          <w:szCs w:val="28"/>
        </w:rPr>
        <w:t>二</w:t>
      </w:r>
      <w:r>
        <w:rPr>
          <w:rFonts w:hint="eastAsia" w:ascii="宋体" w:hAnsi="宋体" w:eastAsia="宋体" w:cs="宋体"/>
          <w:sz w:val="28"/>
          <w:szCs w:val="28"/>
        </w:rPr>
        <w:t>〇</w:t>
      </w:r>
      <w:r>
        <w:rPr>
          <w:rFonts w:hint="eastAsia" w:ascii="宋体" w:hAnsi="宋体" w:eastAsia="宋体" w:cs="方正小标宋简体"/>
          <w:sz w:val="28"/>
          <w:szCs w:val="28"/>
        </w:rPr>
        <w:t>二</w:t>
      </w:r>
      <w:r>
        <w:rPr>
          <w:rFonts w:hint="eastAsia" w:ascii="宋体" w:hAnsi="宋体" w:cs="方正小标宋简体"/>
          <w:sz w:val="28"/>
          <w:szCs w:val="28"/>
          <w:lang w:val="en-US" w:eastAsia="zh-CN"/>
        </w:rPr>
        <w:t>五</w:t>
      </w:r>
      <w:r>
        <w:rPr>
          <w:rFonts w:hint="eastAsia" w:ascii="宋体" w:hAnsi="宋体" w:eastAsia="宋体"/>
          <w:sz w:val="28"/>
          <w:szCs w:val="28"/>
        </w:rPr>
        <w:t>年</w:t>
      </w:r>
      <w:r>
        <w:rPr>
          <w:rFonts w:hint="eastAsia" w:ascii="宋体" w:hAnsi="宋体"/>
          <w:sz w:val="28"/>
          <w:szCs w:val="28"/>
          <w:lang w:val="en-US" w:eastAsia="zh-CN"/>
        </w:rPr>
        <w:t>七</w:t>
      </w:r>
      <w:r>
        <w:rPr>
          <w:rFonts w:hint="eastAsia" w:ascii="宋体" w:hAnsi="宋体"/>
          <w:sz w:val="28"/>
          <w:szCs w:val="28"/>
          <w:lang w:eastAsia="zh-CN"/>
        </w:rPr>
        <w:t>月</w:t>
      </w:r>
    </w:p>
    <w:p>
      <w:pPr>
        <w:pStyle w:val="3"/>
        <w:spacing w:before="120" w:after="480"/>
        <w:jc w:val="center"/>
      </w:pPr>
      <w:bookmarkStart w:id="0" w:name="_Toc28155906"/>
      <w:r>
        <w:rPr>
          <w:rFonts w:hint="eastAsia"/>
        </w:rPr>
        <w:t xml:space="preserve">第一章 </w:t>
      </w:r>
      <w:r>
        <w:t xml:space="preserve"> </w:t>
      </w:r>
      <w:r>
        <w:rPr>
          <w:rFonts w:hint="eastAsia"/>
        </w:rPr>
        <w:t>比选</w:t>
      </w:r>
      <w:bookmarkEnd w:id="0"/>
      <w:r>
        <w:rPr>
          <w:rFonts w:hint="eastAsia"/>
        </w:rPr>
        <w:t>基本信息</w:t>
      </w:r>
    </w:p>
    <w:p>
      <w:pPr>
        <w:spacing w:line="360" w:lineRule="auto"/>
        <w:ind w:firstLine="482" w:firstLineChars="200"/>
        <w:rPr>
          <w:rFonts w:hint="eastAsia" w:ascii="宋体" w:hAnsi="宋体" w:eastAsia="宋体"/>
          <w:b/>
          <w:kern w:val="0"/>
          <w:sz w:val="24"/>
          <w:szCs w:val="24"/>
          <w:lang w:val="en-US" w:eastAsia="zh-CN"/>
        </w:rPr>
      </w:pPr>
      <w:r>
        <w:rPr>
          <w:rFonts w:hint="eastAsia" w:ascii="宋体" w:hAnsi="宋体"/>
          <w:b/>
          <w:kern w:val="0"/>
          <w:sz w:val="24"/>
          <w:szCs w:val="24"/>
          <w:lang w:val="en-US" w:eastAsia="zh-CN"/>
        </w:rPr>
        <w:t>一</w:t>
      </w:r>
      <w:r>
        <w:rPr>
          <w:rFonts w:hint="eastAsia" w:ascii="宋体" w:hAnsi="宋体" w:eastAsia="宋体"/>
          <w:b/>
          <w:kern w:val="0"/>
          <w:sz w:val="24"/>
          <w:szCs w:val="24"/>
        </w:rPr>
        <w:t>、</w:t>
      </w:r>
      <w:r>
        <w:rPr>
          <w:rFonts w:hint="eastAsia" w:ascii="宋体" w:hAnsi="宋体"/>
          <w:b/>
          <w:kern w:val="0"/>
          <w:sz w:val="24"/>
          <w:szCs w:val="24"/>
          <w:lang w:val="en-US" w:eastAsia="zh-CN"/>
        </w:rPr>
        <w:t>采购需求</w:t>
      </w:r>
    </w:p>
    <w:p>
      <w:pPr>
        <w:spacing w:line="360" w:lineRule="auto"/>
        <w:ind w:firstLine="482" w:firstLineChars="200"/>
        <w:rPr>
          <w:rFonts w:hint="eastAsia" w:ascii="宋体" w:hAnsi="宋体" w:cs="宋体"/>
          <w:b/>
          <w:sz w:val="24"/>
          <w:highlight w:val="none"/>
        </w:rPr>
      </w:pPr>
      <w:r>
        <w:rPr>
          <w:rFonts w:hint="eastAsia" w:ascii="宋体" w:hAnsi="宋体" w:cs="宋体"/>
          <w:b/>
          <w:sz w:val="24"/>
          <w:lang w:val="en-US" w:eastAsia="zh-CN"/>
        </w:rPr>
        <w:t>（一）、</w:t>
      </w:r>
      <w:r>
        <w:rPr>
          <w:rFonts w:hint="eastAsia" w:ascii="宋体" w:hAnsi="宋体" w:cs="宋体"/>
          <w:b/>
          <w:sz w:val="24"/>
        </w:rPr>
        <w:t>项</w:t>
      </w:r>
      <w:r>
        <w:rPr>
          <w:rFonts w:hint="eastAsia" w:ascii="宋体" w:hAnsi="宋体" w:cs="宋体"/>
          <w:b/>
          <w:sz w:val="24"/>
          <w:highlight w:val="none"/>
        </w:rPr>
        <w:t>目基本情况</w:t>
      </w:r>
    </w:p>
    <w:p>
      <w:pPr>
        <w:pStyle w:val="2"/>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对顺义区</w:t>
      </w:r>
      <w:r>
        <w:rPr>
          <w:rFonts w:hint="eastAsia" w:asciiTheme="minorEastAsia" w:hAnsiTheme="minorEastAsia" w:eastAsiaTheme="minorEastAsia" w:cstheme="minorEastAsia"/>
          <w:b w:val="0"/>
          <w:bCs w:val="0"/>
          <w:sz w:val="24"/>
          <w:szCs w:val="24"/>
          <w:lang w:val="en-US" w:eastAsia="zh-CN"/>
        </w:rPr>
        <w:t>污水处理厂站发送的数据收集、处理、展示</w:t>
      </w:r>
      <w:r>
        <w:rPr>
          <w:rFonts w:hint="eastAsia" w:asciiTheme="minorEastAsia" w:hAnsiTheme="minorEastAsia" w:eastAsiaTheme="minorEastAsia" w:cstheme="minorEastAsia"/>
          <w:b w:val="0"/>
          <w:bCs w:val="0"/>
          <w:sz w:val="24"/>
          <w:szCs w:val="24"/>
        </w:rPr>
        <w:t>的软、硬件设备进行更新和维护、日常运行保障工作。</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二</w:t>
      </w:r>
      <w:r>
        <w:rPr>
          <w:rFonts w:hint="eastAsia" w:ascii="宋体" w:hAnsi="宋体" w:cs="宋体"/>
          <w:b/>
          <w:sz w:val="24"/>
          <w:highlight w:val="none"/>
          <w:lang w:eastAsia="zh-CN"/>
        </w:rPr>
        <w:t>）</w:t>
      </w:r>
      <w:r>
        <w:rPr>
          <w:rFonts w:hint="eastAsia" w:ascii="宋体" w:hAnsi="宋体" w:cs="宋体"/>
          <w:b/>
          <w:sz w:val="24"/>
          <w:highlight w:val="none"/>
        </w:rPr>
        <w:t>、商务要求</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sz w:val="22"/>
          <w:szCs w:val="22"/>
        </w:rPr>
        <w:t>1.合</w:t>
      </w:r>
      <w:r>
        <w:rPr>
          <w:rFonts w:hint="eastAsia" w:ascii="宋体" w:hAnsi="宋体" w:cs="宋体"/>
          <w:color w:val="auto"/>
          <w:sz w:val="22"/>
          <w:szCs w:val="22"/>
        </w:rPr>
        <w:t>同</w:t>
      </w:r>
      <w:r>
        <w:rPr>
          <w:rFonts w:hint="eastAsia" w:ascii="宋体" w:hAnsi="宋体" w:cs="宋体"/>
          <w:color w:val="auto"/>
          <w:sz w:val="22"/>
          <w:szCs w:val="22"/>
          <w:highlight w:val="none"/>
        </w:rPr>
        <w:t>履行期限：</w:t>
      </w:r>
      <w:r>
        <w:rPr>
          <w:rFonts w:hint="eastAsia" w:ascii="宋体" w:hAnsi="宋体" w:cs="宋体"/>
          <w:color w:val="auto"/>
          <w:sz w:val="22"/>
          <w:szCs w:val="22"/>
          <w:highlight w:val="none"/>
          <w:lang w:val="en-US" w:eastAsia="zh-CN"/>
        </w:rPr>
        <w:t>2025年9月1</w:t>
      </w:r>
      <w:r>
        <w:rPr>
          <w:rFonts w:hint="eastAsia" w:ascii="宋体" w:hAnsi="宋体" w:cs="宋体"/>
          <w:color w:val="auto"/>
          <w:sz w:val="22"/>
          <w:szCs w:val="22"/>
          <w:highlight w:val="none"/>
        </w:rPr>
        <w:t>日起至202</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31</w:t>
      </w:r>
      <w:r>
        <w:rPr>
          <w:rFonts w:hint="eastAsia" w:ascii="宋体" w:hAnsi="宋体" w:cs="宋体"/>
          <w:color w:val="auto"/>
          <w:sz w:val="22"/>
          <w:szCs w:val="22"/>
          <w:highlight w:val="none"/>
        </w:rPr>
        <w:t>日</w:t>
      </w:r>
    </w:p>
    <w:p>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2.服务地点：北京市顺义区</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三</w:t>
      </w:r>
      <w:r>
        <w:rPr>
          <w:rFonts w:hint="eastAsia" w:ascii="宋体" w:hAnsi="宋体" w:cs="宋体"/>
          <w:b/>
          <w:sz w:val="24"/>
          <w:highlight w:val="none"/>
          <w:lang w:eastAsia="zh-CN"/>
        </w:rPr>
        <w:t>）、</w:t>
      </w:r>
      <w:r>
        <w:rPr>
          <w:rFonts w:hint="eastAsia" w:ascii="宋体" w:hAnsi="宋体" w:cs="宋体"/>
          <w:b/>
          <w:sz w:val="24"/>
          <w:highlight w:val="none"/>
        </w:rPr>
        <w:t>技术要求</w:t>
      </w:r>
    </w:p>
    <w:p>
      <w:pPr>
        <w:adjustRightInd w:val="0"/>
        <w:spacing w:line="440" w:lineRule="exact"/>
        <w:ind w:firstLine="482" w:firstLineChars="200"/>
        <w:jc w:val="left"/>
        <w:textAlignment w:val="baseline"/>
        <w:outlineLvl w:val="1"/>
        <w:rPr>
          <w:b/>
          <w:bCs/>
          <w:color w:val="000000"/>
          <w:kern w:val="0"/>
          <w:sz w:val="24"/>
        </w:rPr>
      </w:pPr>
      <w:r>
        <w:rPr>
          <w:b/>
          <w:bCs/>
          <w:color w:val="000000"/>
          <w:kern w:val="0"/>
          <w:sz w:val="24"/>
        </w:rPr>
        <w:t>1.服务目标</w:t>
      </w:r>
    </w:p>
    <w:p>
      <w:pPr>
        <w:adjustRightInd w:val="0"/>
        <w:snapToGrid w:val="0"/>
        <w:spacing w:line="440" w:lineRule="exact"/>
        <w:ind w:firstLine="420" w:firstLineChars="0"/>
        <w:outlineLvl w:val="2"/>
        <w:rPr>
          <w:bCs/>
          <w:color w:val="000000"/>
          <w:sz w:val="24"/>
        </w:rPr>
      </w:pPr>
      <w:r>
        <w:rPr>
          <w:bCs/>
          <w:color w:val="000000"/>
          <w:sz w:val="24"/>
          <w:lang w:val="en-US" w:eastAsia="zh-CN"/>
        </w:rPr>
        <w:t>1.</w:t>
      </w:r>
      <w:r>
        <w:rPr>
          <w:rFonts w:hint="eastAsia"/>
          <w:bCs/>
          <w:color w:val="000000"/>
          <w:sz w:val="24"/>
          <w:lang w:val="en-US" w:eastAsia="zh-CN"/>
        </w:rPr>
        <w:t>1</w:t>
      </w:r>
      <w:r>
        <w:rPr>
          <w:bCs/>
          <w:color w:val="000000"/>
          <w:sz w:val="24"/>
        </w:rPr>
        <w:t>确保顺义区农村污水处理与再生水利用设施运行监测系统及相关硬件设备稳定运行，系统无故障率达到 95% 以上，故障响应时间不超过 15 分钟，一般故障 2 小时内恢复，重大故障 4 小时内恢复。</w:t>
      </w:r>
    </w:p>
    <w:p>
      <w:pPr>
        <w:adjustRightInd w:val="0"/>
        <w:snapToGrid w:val="0"/>
        <w:spacing w:line="440" w:lineRule="exact"/>
        <w:ind w:firstLine="420" w:firstLineChars="0"/>
        <w:outlineLvl w:val="2"/>
        <w:rPr>
          <w:bCs/>
          <w:color w:val="000000"/>
          <w:sz w:val="24"/>
        </w:rPr>
      </w:pPr>
      <w:r>
        <w:rPr>
          <w:rFonts w:hint="eastAsia"/>
          <w:bCs/>
          <w:color w:val="000000"/>
          <w:sz w:val="24"/>
          <w:lang w:val="en-US" w:eastAsia="zh-CN"/>
        </w:rPr>
        <w:t>1.</w:t>
      </w:r>
      <w:r>
        <w:rPr>
          <w:bCs/>
          <w:color w:val="000000"/>
          <w:sz w:val="24"/>
          <w:lang w:val="en-US" w:eastAsia="zh-CN"/>
        </w:rPr>
        <w:t>2</w:t>
      </w:r>
      <w:r>
        <w:rPr>
          <w:rFonts w:hint="default"/>
          <w:bCs/>
          <w:color w:val="000000"/>
          <w:sz w:val="24"/>
        </w:rPr>
        <w:t>通过定期巡检、维护及优化，及时发现并消除故障隐患，提升系统数据采集的准确性、传输的稳定性及功能的可靠性，保障污水处理设施监测数据的实时性和有效性。</w:t>
      </w:r>
    </w:p>
    <w:p>
      <w:pPr>
        <w:adjustRightInd w:val="0"/>
        <w:snapToGrid w:val="0"/>
        <w:spacing w:line="440" w:lineRule="exact"/>
        <w:ind w:firstLine="480" w:firstLineChars="200"/>
        <w:rPr>
          <w:bCs/>
          <w:color w:val="000000"/>
          <w:sz w:val="24"/>
        </w:rPr>
      </w:pPr>
      <w:r>
        <w:rPr>
          <w:bCs/>
          <w:color w:val="000000"/>
          <w:sz w:val="24"/>
        </w:rPr>
        <w:t>1.3为信息化基础设施的连续性和信息安全性，制定有效的运行维护策略，兼顾运行维护过程和运行维护结果，实现“事前防范，风险前移；事中控制，快速响应；事后改进，持续评估”的持续改进原则。</w:t>
      </w:r>
    </w:p>
    <w:p>
      <w:pPr>
        <w:adjustRightInd w:val="0"/>
        <w:spacing w:line="360" w:lineRule="auto"/>
        <w:ind w:firstLine="480" w:firstLineChars="200"/>
        <w:jc w:val="left"/>
        <w:textAlignment w:val="baseline"/>
        <w:rPr>
          <w:kern w:val="0"/>
          <w:sz w:val="24"/>
        </w:rPr>
      </w:pPr>
    </w:p>
    <w:p>
      <w:pPr>
        <w:adjustRightInd w:val="0"/>
        <w:spacing w:line="440" w:lineRule="exact"/>
        <w:ind w:firstLine="420" w:firstLineChars="0"/>
        <w:jc w:val="left"/>
        <w:textAlignment w:val="baseline"/>
        <w:outlineLvl w:val="1"/>
        <w:rPr>
          <w:b/>
          <w:bCs/>
          <w:color w:val="000000"/>
          <w:kern w:val="0"/>
          <w:sz w:val="24"/>
        </w:rPr>
      </w:pPr>
      <w:bookmarkStart w:id="1" w:name="_Toc108450557"/>
      <w:r>
        <w:rPr>
          <w:b/>
          <w:bCs/>
          <w:color w:val="000000"/>
          <w:kern w:val="0"/>
          <w:sz w:val="24"/>
        </w:rPr>
        <w:t>2. 服务内容及要求</w:t>
      </w:r>
      <w:bookmarkEnd w:id="1"/>
    </w:p>
    <w:p>
      <w:pPr>
        <w:adjustRightInd w:val="0"/>
        <w:snapToGrid w:val="0"/>
        <w:spacing w:line="440" w:lineRule="exact"/>
        <w:ind w:left="789" w:leftChars="200" w:hanging="369" w:hangingChars="154"/>
        <w:outlineLvl w:val="2"/>
        <w:rPr>
          <w:bCs/>
          <w:color w:val="000000"/>
          <w:sz w:val="24"/>
        </w:rPr>
      </w:pPr>
      <w:r>
        <w:rPr>
          <w:bCs/>
          <w:color w:val="000000"/>
          <w:sz w:val="24"/>
        </w:rPr>
        <w:t>2.</w:t>
      </w:r>
      <w:r>
        <w:rPr>
          <w:rFonts w:hint="eastAsia"/>
          <w:bCs/>
          <w:color w:val="000000"/>
          <w:sz w:val="24"/>
          <w:lang w:val="en-US" w:eastAsia="zh-CN"/>
        </w:rPr>
        <w:t>1</w:t>
      </w:r>
      <w:r>
        <w:rPr>
          <w:bCs/>
          <w:color w:val="000000"/>
          <w:sz w:val="24"/>
        </w:rPr>
        <w:t>软件运维服务</w:t>
      </w:r>
    </w:p>
    <w:tbl>
      <w:tblPr>
        <w:tblStyle w:val="1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15"/>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序号</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服务内容</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运维内容描述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9" w:type="dxa"/>
            <w:gridSpan w:val="3"/>
            <w:noWrap w:val="0"/>
            <w:vAlign w:val="center"/>
          </w:tcPr>
          <w:p>
            <w:pPr>
              <w:widowControl/>
              <w:adjustRightInd w:val="0"/>
              <w:spacing w:line="240" w:lineRule="atLeast"/>
              <w:jc w:val="center"/>
              <w:textAlignment w:val="baseline"/>
              <w:rPr>
                <w:b/>
                <w:bCs/>
                <w:color w:val="000000"/>
                <w:kern w:val="0"/>
                <w:szCs w:val="21"/>
              </w:rPr>
            </w:pPr>
            <w:r>
              <w:rPr>
                <w:b/>
                <w:bCs/>
                <w:color w:val="000000"/>
                <w:kern w:val="0"/>
                <w:szCs w:val="21"/>
              </w:rPr>
              <w:t>1、日常巡检与监控服务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1.1</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操作系统运行状态检查</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对服务器操作系统进行运行状态检查，通过监控软件、远程桌面方式查看操作系统的资源使用情况，包括：cpu、内存、磁盘、进程、服务、系统事件、IO吞吐量等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1.2</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数据库系统运行状态检查</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对数据库系统运行状态进行检查，通过监控软件、数据库连接等方式，对数据库的连通性、数据库文件、日志文件等进行检查，并详细记录检查结果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1.3</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数据库作业执行检查</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检查数据库作业执行情况，分析未执行作业的原因并及时解决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1.4</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应用系统监控与巡检</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进行应用系统巡检，通过监控工具对所有系统连通性进行监控，手工访问系统功能模块进行功能性检查，并详细记录巡检情况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9" w:type="dxa"/>
            <w:gridSpan w:val="3"/>
            <w:noWrap w:val="0"/>
            <w:vAlign w:val="center"/>
          </w:tcPr>
          <w:p>
            <w:pPr>
              <w:widowControl/>
              <w:adjustRightInd w:val="0"/>
              <w:spacing w:line="240" w:lineRule="atLeast"/>
              <w:jc w:val="center"/>
              <w:textAlignment w:val="baseline"/>
              <w:rPr>
                <w:b/>
                <w:bCs/>
                <w:color w:val="000000"/>
                <w:kern w:val="0"/>
                <w:szCs w:val="21"/>
              </w:rPr>
            </w:pPr>
            <w:r>
              <w:rPr>
                <w:b/>
                <w:bCs/>
                <w:color w:val="000000"/>
                <w:kern w:val="0"/>
                <w:szCs w:val="21"/>
              </w:rPr>
              <w:t>2、系统例行维护与故障排除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2.1</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操作系统例行维护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定期对操作系统进行维护，例如清理升级备份文件、清理日志文件、磁盘碎片整理、释放系统内存等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2.2</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应用系统例行维护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根据巡检情况对应用系统进行维护，例如清理日志文件、清理临时文件、备份配置文件、备份最新照片、删除历史备份文件等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2.3</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数据库例行维护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根据巡检情况对数据库进行例行维护，通过配置数据库系统参数、索引优化、碎片页整理、导出清理历史日志、调整内存大小、cpu个数等操作，对数据库性能进行调整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2.4</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操作系统故障排除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对监控或巡检发现的问题进行及时处理，并详细记录问题与处理过程，如遇重大故障，则按紧急预案流程进行处理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2.5</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数据库系统故障排除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对监控或巡检发现的问题进行及时处理，并详细记录问题与处理过程，如遇重大故障，则按紧急预案流程进行处理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2.6</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应用系统故障排除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对监控或巡检发现的问题进行及时处理，并详细记录问题与处理过程，如遇重大故障，则按紧急预案流程进行处理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9" w:type="dxa"/>
            <w:gridSpan w:val="3"/>
            <w:noWrap w:val="0"/>
            <w:vAlign w:val="center"/>
          </w:tcPr>
          <w:p>
            <w:pPr>
              <w:widowControl/>
              <w:adjustRightInd w:val="0"/>
              <w:spacing w:line="240" w:lineRule="atLeast"/>
              <w:jc w:val="center"/>
              <w:textAlignment w:val="baseline"/>
              <w:rPr>
                <w:b/>
                <w:bCs/>
                <w:color w:val="000000"/>
                <w:kern w:val="0"/>
                <w:szCs w:val="21"/>
              </w:rPr>
            </w:pPr>
            <w:r>
              <w:rPr>
                <w:b/>
                <w:bCs/>
                <w:color w:val="000000"/>
                <w:kern w:val="0"/>
                <w:szCs w:val="21"/>
              </w:rPr>
              <w:t>3、基础软件管理与维护服务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3.1</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操作系统密码管理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按照保密和安全要求，对各服务器的用户名及密码进行管理，设置操作系统复杂度，及密码使用周期，定期更新系统登录密码，确保系统的安全性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3.2</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数据库密码管理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对数据库的密码进行管理，定期修改数据库的密码，确保数据库的安全性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3.3</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数据库文件备份管理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制定数据库每月备份计划任务，并通过文件备份工具，将数据库文件备份到专用备份服务器上，并定期对备份数据文件进行压缩与清理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3.4</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应用系统文件备份与清理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定期备份应用系统文件，将数据库文件备份到专用备份服务器上，并定期对备份数据文件进行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3.5</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操作系统策略管理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对服务器的策略进行统一管理，制定服务器重启策略，定期对服务器进行重启操作，确保服务器能够稳定、安全的运行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9" w:type="dxa"/>
            <w:gridSpan w:val="3"/>
            <w:noWrap w:val="0"/>
            <w:vAlign w:val="center"/>
          </w:tcPr>
          <w:p>
            <w:pPr>
              <w:widowControl/>
              <w:adjustRightInd w:val="0"/>
              <w:spacing w:line="240" w:lineRule="atLeast"/>
              <w:jc w:val="center"/>
              <w:textAlignment w:val="baseline"/>
              <w:rPr>
                <w:b/>
                <w:bCs/>
                <w:color w:val="000000"/>
                <w:kern w:val="0"/>
                <w:szCs w:val="21"/>
              </w:rPr>
            </w:pPr>
            <w:r>
              <w:rPr>
                <w:b/>
                <w:bCs/>
                <w:color w:val="000000"/>
                <w:kern w:val="0"/>
                <w:szCs w:val="21"/>
              </w:rPr>
              <w:t>4、</w:t>
            </w:r>
            <w:r>
              <w:rPr>
                <w:rStyle w:val="15"/>
                <w:rFonts w:hint="eastAsia" w:ascii="Segoe UI" w:hAnsi="Segoe UI" w:cs="Segoe UI"/>
                <w:b/>
                <w:bCs/>
                <w:i w:val="0"/>
                <w:iCs w:val="0"/>
                <w:caps w:val="0"/>
                <w:color w:val="000000"/>
                <w:spacing w:val="0"/>
                <w:sz w:val="19"/>
                <w:szCs w:val="19"/>
                <w:shd w:val="clear" w:color="auto" w:fill="FFFFFF"/>
                <w:lang w:val="en-US" w:eastAsia="zh-CN"/>
              </w:rPr>
              <w:t>接收数据模块</w:t>
            </w:r>
            <w:r>
              <w:rPr>
                <w:b/>
                <w:bCs/>
                <w:color w:val="000000"/>
                <w:kern w:val="0"/>
                <w:szCs w:val="21"/>
              </w:rPr>
              <w:t>运行管理与维护服务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rFonts w:hint="eastAsia"/>
                <w:color w:val="000000"/>
                <w:kern w:val="0"/>
                <w:szCs w:val="21"/>
                <w:lang w:val="en-US" w:eastAsia="zh-CN"/>
              </w:rPr>
            </w:pPr>
            <w:r>
              <w:rPr>
                <w:rFonts w:hint="eastAsia"/>
                <w:color w:val="000000"/>
                <w:kern w:val="0"/>
                <w:szCs w:val="21"/>
                <w:lang w:val="en-US" w:eastAsia="zh-CN"/>
              </w:rPr>
              <w:t>1</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日常巡检与监控</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每日对排水监测点管理、实时监控、自动检测数据管理、异常数据管理等子模块进行巡检，检查系统连通性、数据更新频率及准确性，记录巡检结果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rFonts w:hint="eastAsia"/>
                <w:color w:val="000000"/>
                <w:kern w:val="0"/>
                <w:szCs w:val="21"/>
                <w:lang w:val="en-US" w:eastAsia="zh-CN"/>
              </w:rPr>
            </w:pPr>
            <w:r>
              <w:rPr>
                <w:rFonts w:hint="eastAsia"/>
                <w:color w:val="000000"/>
                <w:kern w:val="0"/>
                <w:szCs w:val="21"/>
                <w:lang w:val="en-US" w:eastAsia="zh-CN"/>
              </w:rPr>
              <w:t>2</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故障排除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针对系统报错、数据异常、功能失效等问题，及时排查原因并修复，如数据库连接失败、监测数据不刷新、报警功能失灵等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rFonts w:hint="eastAsia"/>
                <w:color w:val="000000"/>
                <w:kern w:val="0"/>
                <w:szCs w:val="21"/>
                <w:lang w:val="en-US" w:eastAsia="zh-CN"/>
              </w:rPr>
            </w:pPr>
            <w:r>
              <w:rPr>
                <w:rFonts w:hint="eastAsia"/>
                <w:color w:val="000000"/>
                <w:kern w:val="0"/>
                <w:szCs w:val="21"/>
                <w:lang w:val="en-US" w:eastAsia="zh-CN"/>
              </w:rPr>
              <w:t>3</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定期备份系统数据（包括自动检测数据、异常数据记录等），每月清理冗余数据，确保数据库性能稳定；每季度对数据进行完整性校验，防止数据丢失或损坏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rFonts w:hint="eastAsia"/>
                <w:color w:val="000000"/>
                <w:kern w:val="0"/>
                <w:szCs w:val="21"/>
                <w:lang w:val="en-US" w:eastAsia="zh-CN"/>
              </w:rPr>
            </w:pPr>
            <w:r>
              <w:rPr>
                <w:rFonts w:hint="eastAsia"/>
                <w:color w:val="000000"/>
                <w:kern w:val="0"/>
                <w:szCs w:val="21"/>
                <w:lang w:val="en-US" w:eastAsia="zh-CN"/>
              </w:rPr>
              <w:t>4</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功能优化</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根据用户需求，对排水检测数据统计、报警数据查询等功能进行优化，如调整统计维度、优化报警阈值设置界面等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9" w:type="dxa"/>
            <w:gridSpan w:val="3"/>
            <w:noWrap w:val="0"/>
            <w:vAlign w:val="center"/>
          </w:tcPr>
          <w:p>
            <w:pPr>
              <w:widowControl/>
              <w:adjustRightInd w:val="0"/>
              <w:spacing w:line="240" w:lineRule="atLeast"/>
              <w:jc w:val="center"/>
              <w:textAlignment w:val="baseline"/>
              <w:rPr>
                <w:color w:val="000000"/>
                <w:kern w:val="0"/>
                <w:szCs w:val="21"/>
              </w:rPr>
            </w:pPr>
            <w:r>
              <w:rPr>
                <w:rFonts w:hint="eastAsia"/>
                <w:b/>
                <w:bCs/>
                <w:color w:val="000000"/>
                <w:kern w:val="0"/>
                <w:szCs w:val="21"/>
                <w:lang w:val="en-US" w:eastAsia="zh-CN"/>
              </w:rPr>
              <w:t>5</w:t>
            </w:r>
            <w:r>
              <w:rPr>
                <w:b/>
                <w:bCs/>
                <w:color w:val="000000"/>
                <w:kern w:val="0"/>
                <w:szCs w:val="21"/>
              </w:rPr>
              <w:t>、</w:t>
            </w:r>
            <w:r>
              <w:rPr>
                <w:rFonts w:hint="eastAsia"/>
                <w:b/>
                <w:bCs/>
                <w:color w:val="000000"/>
                <w:kern w:val="0"/>
                <w:szCs w:val="21"/>
                <w:lang w:val="en-US" w:eastAsia="zh-CN"/>
              </w:rPr>
              <w:t>业务系统模块</w:t>
            </w:r>
            <w:r>
              <w:rPr>
                <w:b/>
                <w:bCs/>
                <w:color w:val="000000"/>
                <w:kern w:val="0"/>
                <w:szCs w:val="21"/>
              </w:rPr>
              <w:t>运行</w:t>
            </w:r>
            <w:r>
              <w:rPr>
                <w:rStyle w:val="15"/>
                <w:rFonts w:ascii="Segoe UI" w:hAnsi="Segoe UI" w:eastAsia="Segoe UI" w:cs="Segoe UI"/>
                <w:b/>
                <w:bCs/>
                <w:i w:val="0"/>
                <w:iCs w:val="0"/>
                <w:caps w:val="0"/>
                <w:color w:val="000000"/>
                <w:spacing w:val="0"/>
                <w:sz w:val="19"/>
                <w:szCs w:val="19"/>
                <w:shd w:val="clear" w:color="auto" w:fill="FFFFFF"/>
              </w:rPr>
              <w:t>管理</w:t>
            </w:r>
            <w:r>
              <w:rPr>
                <w:b/>
                <w:bCs/>
                <w:color w:val="000000"/>
                <w:kern w:val="0"/>
                <w:szCs w:val="21"/>
              </w:rPr>
              <w:t>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rFonts w:hint="default" w:eastAsia="宋体"/>
                <w:color w:val="000000"/>
                <w:kern w:val="0"/>
                <w:szCs w:val="21"/>
                <w:lang w:val="en-US" w:eastAsia="zh-CN"/>
              </w:rPr>
            </w:pPr>
            <w:r>
              <w:rPr>
                <w:rFonts w:hint="eastAsia"/>
                <w:color w:val="000000"/>
                <w:kern w:val="0"/>
                <w:szCs w:val="21"/>
                <w:lang w:val="en-US" w:eastAsia="zh-CN"/>
              </w:rPr>
              <w:t>1</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综合展示维护</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确保污水处理设施运行数据（处理水量、水质指标、电量消耗等）在综合展示界面实时更新，图表显示正常，无数据延迟或错乱。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rFonts w:hint="eastAsia"/>
                <w:color w:val="000000"/>
                <w:kern w:val="0"/>
                <w:szCs w:val="21"/>
                <w:lang w:val="en-US" w:eastAsia="zh-CN"/>
              </w:rPr>
            </w:pPr>
            <w:r>
              <w:rPr>
                <w:rFonts w:hint="eastAsia"/>
                <w:color w:val="000000"/>
                <w:kern w:val="0"/>
                <w:szCs w:val="21"/>
                <w:lang w:val="en-US" w:eastAsia="zh-CN"/>
              </w:rPr>
              <w:t>2</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数据同步</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定期检查基础设施信息、检测数据信息与现场实际情况的一致性，确保数据同步准确，如设施参数变更后系统信息及时更新。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9" w:type="dxa"/>
            <w:gridSpan w:val="3"/>
            <w:noWrap w:val="0"/>
            <w:vAlign w:val="center"/>
          </w:tcPr>
          <w:p>
            <w:pPr>
              <w:widowControl/>
              <w:adjustRightInd w:val="0"/>
              <w:spacing w:line="240" w:lineRule="atLeast"/>
              <w:jc w:val="center"/>
              <w:textAlignment w:val="baseline"/>
              <w:rPr>
                <w:color w:val="000000"/>
                <w:kern w:val="0"/>
                <w:szCs w:val="21"/>
              </w:rPr>
            </w:pPr>
            <w:r>
              <w:rPr>
                <w:rFonts w:hint="eastAsia"/>
                <w:b/>
                <w:bCs/>
                <w:color w:val="000000"/>
                <w:kern w:val="0"/>
                <w:szCs w:val="21"/>
                <w:lang w:val="en-US" w:eastAsia="zh-CN"/>
              </w:rPr>
              <w:t>6</w:t>
            </w:r>
            <w:r>
              <w:rPr>
                <w:b/>
                <w:bCs/>
                <w:color w:val="000000"/>
                <w:kern w:val="0"/>
                <w:szCs w:val="21"/>
              </w:rPr>
              <w:t>、</w:t>
            </w:r>
            <w:r>
              <w:rPr>
                <w:rFonts w:hint="eastAsia"/>
                <w:b/>
                <w:bCs/>
                <w:color w:val="000000"/>
                <w:kern w:val="0"/>
                <w:szCs w:val="21"/>
                <w:lang w:val="en-US" w:eastAsia="zh-CN"/>
              </w:rPr>
              <w:t>业务支撑模块</w:t>
            </w:r>
            <w:r>
              <w:rPr>
                <w:b/>
                <w:bCs/>
                <w:color w:val="000000"/>
                <w:kern w:val="0"/>
                <w:szCs w:val="21"/>
              </w:rPr>
              <w:t>运行</w:t>
            </w:r>
            <w:r>
              <w:rPr>
                <w:rStyle w:val="15"/>
                <w:rFonts w:ascii="Segoe UI" w:hAnsi="Segoe UI" w:eastAsia="Segoe UI" w:cs="Segoe UI"/>
                <w:b/>
                <w:bCs/>
                <w:i w:val="0"/>
                <w:iCs w:val="0"/>
                <w:caps w:val="0"/>
                <w:color w:val="000000"/>
                <w:spacing w:val="0"/>
                <w:sz w:val="19"/>
                <w:szCs w:val="19"/>
                <w:shd w:val="clear" w:color="auto" w:fill="FFFFFF"/>
              </w:rPr>
              <w:t>管理</w:t>
            </w:r>
            <w:r>
              <w:rPr>
                <w:b/>
                <w:bCs/>
                <w:color w:val="000000"/>
                <w:kern w:val="0"/>
                <w:szCs w:val="21"/>
              </w:rPr>
              <w:t>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1</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角色                                     管理</w:t>
            </w:r>
          </w:p>
        </w:tc>
        <w:tc>
          <w:tcPr>
            <w:tcW w:w="6336" w:type="dxa"/>
            <w:noWrap w:val="0"/>
            <w:vAlign w:val="center"/>
          </w:tcPr>
          <w:p>
            <w:pPr>
              <w:widowControl/>
              <w:adjustRightInd w:val="0"/>
              <w:spacing w:line="240" w:lineRule="atLeast"/>
              <w:jc w:val="center"/>
              <w:textAlignment w:val="baseline"/>
              <w:rPr>
                <w:rFonts w:hint="eastAsia" w:eastAsia="宋体"/>
                <w:color w:val="000000"/>
                <w:kern w:val="0"/>
                <w:szCs w:val="21"/>
                <w:lang w:eastAsia="zh-CN"/>
              </w:rPr>
            </w:pPr>
            <w:r>
              <w:rPr>
                <w:color w:val="000000"/>
                <w:kern w:val="0"/>
                <w:szCs w:val="21"/>
              </w:rPr>
              <w:t>梳理系统中的角色及权限设置，规范应用系统的角色配置</w:t>
            </w:r>
            <w:r>
              <w:rPr>
                <w:rFonts w:hint="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密码                                       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设置密码长度、复杂度规则等，实现对系统用户密码的统一管理，同时提供修改或重置服务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3</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用户                                              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梳理系统与综合类应用系统的用户，形成业务系统用户列表，规范用户名命名规则。日常维护更新用户列表，及时停用或删除不再使用用户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5</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权限                               管理</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根据用户权限需求合理设置系统角色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19" w:type="dxa"/>
            <w:gridSpan w:val="3"/>
            <w:noWrap w:val="0"/>
            <w:vAlign w:val="center"/>
          </w:tcPr>
          <w:p>
            <w:pPr>
              <w:widowControl/>
              <w:adjustRightInd w:val="0"/>
              <w:spacing w:line="240" w:lineRule="atLeast"/>
              <w:jc w:val="center"/>
              <w:textAlignment w:val="baseline"/>
              <w:rPr>
                <w:b/>
                <w:bCs/>
                <w:color w:val="000000"/>
                <w:kern w:val="0"/>
                <w:szCs w:val="21"/>
              </w:rPr>
            </w:pPr>
            <w:r>
              <w:rPr>
                <w:rFonts w:hint="eastAsia"/>
                <w:b/>
                <w:bCs/>
                <w:color w:val="000000"/>
                <w:kern w:val="0"/>
                <w:szCs w:val="21"/>
                <w:lang w:val="en-US" w:eastAsia="zh-CN"/>
              </w:rPr>
              <w:t>7</w:t>
            </w:r>
            <w:r>
              <w:rPr>
                <w:b/>
                <w:bCs/>
                <w:color w:val="000000"/>
                <w:kern w:val="0"/>
                <w:szCs w:val="21"/>
              </w:rPr>
              <w:t>、响应支持服务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1</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电话及远程支持服务</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客户日常使用中，通过电话、QQ、微信等方式对用户的咨询、请求等事件进行处理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2</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现场支持服务</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现场查看用户操作流程，分析排查问题，解答用户疑问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68"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3</w:t>
            </w:r>
          </w:p>
        </w:tc>
        <w:tc>
          <w:tcPr>
            <w:tcW w:w="1515"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系统培训服务</w:t>
            </w:r>
          </w:p>
        </w:tc>
        <w:tc>
          <w:tcPr>
            <w:tcW w:w="6336"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在现场，对客户进行系统使用上的培训</w:t>
            </w:r>
          </w:p>
        </w:tc>
      </w:tr>
    </w:tbl>
    <w:p>
      <w:pPr>
        <w:adjustRightInd w:val="0"/>
        <w:snapToGrid w:val="0"/>
        <w:spacing w:line="440" w:lineRule="exact"/>
        <w:ind w:left="850" w:hanging="849" w:hangingChars="354"/>
        <w:rPr>
          <w:bCs/>
          <w:color w:val="000000"/>
          <w:sz w:val="24"/>
        </w:rPr>
      </w:pPr>
    </w:p>
    <w:p>
      <w:pPr>
        <w:adjustRightInd w:val="0"/>
        <w:snapToGrid w:val="0"/>
        <w:spacing w:line="440" w:lineRule="exact"/>
        <w:ind w:left="789" w:leftChars="200" w:hanging="369" w:hangingChars="154"/>
        <w:outlineLvl w:val="2"/>
        <w:rPr>
          <w:bCs/>
          <w:color w:val="000000"/>
          <w:sz w:val="24"/>
        </w:rPr>
      </w:pPr>
      <w:r>
        <w:rPr>
          <w:bCs/>
          <w:color w:val="000000"/>
          <w:sz w:val="24"/>
        </w:rPr>
        <w:t>2.</w:t>
      </w:r>
      <w:r>
        <w:rPr>
          <w:rFonts w:hint="eastAsia"/>
          <w:bCs/>
          <w:color w:val="000000"/>
          <w:sz w:val="24"/>
          <w:lang w:val="en-US" w:eastAsia="zh-CN"/>
        </w:rPr>
        <w:t>2</w:t>
      </w:r>
      <w:r>
        <w:rPr>
          <w:bCs/>
          <w:color w:val="000000"/>
          <w:sz w:val="24"/>
        </w:rPr>
        <w:t>硬件运维服务</w:t>
      </w:r>
    </w:p>
    <w:tbl>
      <w:tblPr>
        <w:tblStyle w:val="1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43"/>
        <w:gridCol w:w="3867"/>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28" w:type="dxa"/>
            <w:gridSpan w:val="2"/>
            <w:noWrap w:val="0"/>
            <w:vAlign w:val="center"/>
          </w:tcPr>
          <w:p>
            <w:pPr>
              <w:widowControl/>
              <w:adjustRightInd w:val="0"/>
              <w:spacing w:line="240" w:lineRule="atLeast"/>
              <w:jc w:val="center"/>
              <w:textAlignment w:val="baseline"/>
              <w:rPr>
                <w:color w:val="000000"/>
                <w:kern w:val="0"/>
                <w:szCs w:val="21"/>
              </w:rPr>
            </w:pPr>
            <w:r>
              <w:rPr>
                <w:color w:val="000000"/>
                <w:kern w:val="0"/>
                <w:szCs w:val="21"/>
              </w:rPr>
              <w:t>运行维护事项</w:t>
            </w:r>
          </w:p>
        </w:tc>
        <w:tc>
          <w:tcPr>
            <w:tcW w:w="3867"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具体工作内容</w:t>
            </w:r>
          </w:p>
        </w:tc>
        <w:tc>
          <w:tcPr>
            <w:tcW w:w="2924"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维护范围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5" w:type="dxa"/>
            <w:vMerge w:val="restart"/>
            <w:noWrap w:val="0"/>
            <w:vAlign w:val="center"/>
          </w:tcPr>
          <w:p>
            <w:pPr>
              <w:widowControl/>
              <w:adjustRightInd w:val="0"/>
              <w:spacing w:line="240" w:lineRule="atLeast"/>
              <w:jc w:val="center"/>
              <w:textAlignment w:val="baseline"/>
              <w:rPr>
                <w:b/>
                <w:bCs/>
                <w:color w:val="000000"/>
                <w:kern w:val="0"/>
                <w:szCs w:val="21"/>
              </w:rPr>
            </w:pPr>
            <w:r>
              <w:rPr>
                <w:b/>
                <w:bCs/>
                <w:color w:val="000000"/>
                <w:kern w:val="0"/>
                <w:szCs w:val="21"/>
              </w:rPr>
              <w:t>服务器及存储运维</w:t>
            </w:r>
          </w:p>
        </w:tc>
        <w:tc>
          <w:tcPr>
            <w:tcW w:w="1043"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服务器及存储巡检</w:t>
            </w:r>
          </w:p>
        </w:tc>
        <w:tc>
          <w:tcPr>
            <w:tcW w:w="3867"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所有服务器与存储设备工作状态是否正常；</w:t>
            </w:r>
            <w:r>
              <w:rPr>
                <w:color w:val="000000"/>
                <w:kern w:val="0"/>
                <w:szCs w:val="21"/>
              </w:rPr>
              <w:br w:type="textWrapping"/>
            </w:r>
            <w:r>
              <w:rPr>
                <w:color w:val="000000"/>
                <w:kern w:val="0"/>
                <w:szCs w:val="21"/>
              </w:rPr>
              <w:t>发现问题记录并及时报告相关负责人，并跟踪故障处理全过程；</w:t>
            </w:r>
          </w:p>
        </w:tc>
        <w:tc>
          <w:tcPr>
            <w:tcW w:w="2924" w:type="dxa"/>
            <w:noWrap w:val="0"/>
            <w:vAlign w:val="center"/>
          </w:tcPr>
          <w:p>
            <w:pPr>
              <w:widowControl/>
              <w:adjustRightInd w:val="0"/>
              <w:spacing w:line="240" w:lineRule="atLeast"/>
              <w:jc w:val="center"/>
              <w:textAlignment w:val="baseline"/>
              <w:rPr>
                <w:color w:val="000000"/>
                <w:kern w:val="0"/>
                <w:szCs w:val="21"/>
              </w:rPr>
            </w:pPr>
            <w:r>
              <w:rPr>
                <w:rFonts w:hint="eastAsia"/>
                <w:color w:val="000000"/>
                <w:kern w:val="0"/>
                <w:szCs w:val="21"/>
                <w:lang w:val="en-US" w:eastAsia="zh-CN"/>
              </w:rPr>
              <w:t>业务系统相关</w:t>
            </w:r>
            <w:r>
              <w:rPr>
                <w:color w:val="000000"/>
                <w:kern w:val="0"/>
                <w:szCs w:val="21"/>
              </w:rPr>
              <w:t>服务器与存储设备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5" w:type="dxa"/>
            <w:vMerge w:val="continue"/>
            <w:noWrap w:val="0"/>
            <w:vAlign w:val="center"/>
          </w:tcPr>
          <w:p>
            <w:pPr>
              <w:widowControl/>
              <w:adjustRightInd w:val="0"/>
              <w:spacing w:line="240" w:lineRule="atLeast"/>
              <w:jc w:val="left"/>
              <w:textAlignment w:val="baseline"/>
              <w:rPr>
                <w:b/>
                <w:bCs/>
                <w:color w:val="000000"/>
                <w:kern w:val="0"/>
                <w:szCs w:val="21"/>
              </w:rPr>
            </w:pPr>
          </w:p>
        </w:tc>
        <w:tc>
          <w:tcPr>
            <w:tcW w:w="1043"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服务器及存储系统维护</w:t>
            </w:r>
          </w:p>
        </w:tc>
        <w:tc>
          <w:tcPr>
            <w:tcW w:w="3867"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业务系统数据备份：按照甲方要求对各业务系统进行相关备份工作；</w:t>
            </w:r>
            <w:r>
              <w:rPr>
                <w:color w:val="000000"/>
                <w:kern w:val="0"/>
                <w:szCs w:val="21"/>
              </w:rPr>
              <w:br w:type="textWrapping"/>
            </w:r>
            <w:r>
              <w:rPr>
                <w:color w:val="000000"/>
                <w:kern w:val="0"/>
                <w:szCs w:val="21"/>
              </w:rPr>
              <w:t>操作系统：利用漏洞扫描设备进行各服务器的漏洞与扫描工作，发现漏洞及时修复，不能修复的及时报告各相关负责人配合修复；</w:t>
            </w:r>
          </w:p>
        </w:tc>
        <w:tc>
          <w:tcPr>
            <w:tcW w:w="2924" w:type="dxa"/>
            <w:noWrap w:val="0"/>
            <w:vAlign w:val="center"/>
          </w:tcPr>
          <w:p>
            <w:pPr>
              <w:widowControl/>
              <w:adjustRightInd w:val="0"/>
              <w:spacing w:line="240" w:lineRule="atLeast"/>
              <w:jc w:val="center"/>
              <w:textAlignment w:val="baseline"/>
              <w:rPr>
                <w:color w:val="000000"/>
                <w:kern w:val="0"/>
                <w:szCs w:val="21"/>
              </w:rPr>
            </w:pPr>
            <w:r>
              <w:rPr>
                <w:rFonts w:hint="eastAsia"/>
                <w:color w:val="000000"/>
                <w:kern w:val="0"/>
                <w:szCs w:val="21"/>
                <w:lang w:val="en-US" w:eastAsia="zh-CN"/>
              </w:rPr>
              <w:t>业务系统相关</w:t>
            </w:r>
            <w:r>
              <w:rPr>
                <w:color w:val="000000"/>
                <w:kern w:val="0"/>
                <w:szCs w:val="21"/>
              </w:rPr>
              <w:t>服务器与存储设备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5" w:type="dxa"/>
            <w:vMerge w:val="continue"/>
            <w:noWrap w:val="0"/>
            <w:vAlign w:val="center"/>
          </w:tcPr>
          <w:p>
            <w:pPr>
              <w:widowControl/>
              <w:adjustRightInd w:val="0"/>
              <w:spacing w:line="240" w:lineRule="atLeast"/>
              <w:jc w:val="left"/>
              <w:textAlignment w:val="baseline"/>
              <w:rPr>
                <w:b/>
                <w:bCs/>
                <w:color w:val="000000"/>
                <w:kern w:val="0"/>
                <w:szCs w:val="21"/>
              </w:rPr>
            </w:pPr>
          </w:p>
        </w:tc>
        <w:tc>
          <w:tcPr>
            <w:tcW w:w="1043"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服务器及存储管理与维护</w:t>
            </w:r>
          </w:p>
        </w:tc>
        <w:tc>
          <w:tcPr>
            <w:tcW w:w="3867"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接受终端用户的保修诉求，处理相关故障；</w:t>
            </w:r>
          </w:p>
        </w:tc>
        <w:tc>
          <w:tcPr>
            <w:tcW w:w="2924" w:type="dxa"/>
            <w:noWrap w:val="0"/>
            <w:vAlign w:val="center"/>
          </w:tcPr>
          <w:p>
            <w:pPr>
              <w:widowControl/>
              <w:adjustRightInd w:val="0"/>
              <w:spacing w:line="240" w:lineRule="atLeast"/>
              <w:jc w:val="center"/>
              <w:textAlignment w:val="baseline"/>
              <w:rPr>
                <w:color w:val="000000"/>
                <w:kern w:val="0"/>
                <w:szCs w:val="21"/>
              </w:rPr>
            </w:pPr>
            <w:r>
              <w:rPr>
                <w:rFonts w:hint="eastAsia"/>
                <w:color w:val="000000"/>
                <w:kern w:val="0"/>
                <w:szCs w:val="21"/>
                <w:lang w:val="en-US" w:eastAsia="zh-CN"/>
              </w:rPr>
              <w:t>业务系统相关</w:t>
            </w:r>
            <w:r>
              <w:rPr>
                <w:color w:val="000000"/>
                <w:kern w:val="0"/>
                <w:szCs w:val="21"/>
              </w:rPr>
              <w:t>服务器与存储设备</w:t>
            </w:r>
          </w:p>
        </w:tc>
      </w:tr>
    </w:tbl>
    <w:p>
      <w:pPr>
        <w:adjustRightInd w:val="0"/>
        <w:snapToGrid w:val="0"/>
        <w:spacing w:line="440" w:lineRule="exact"/>
        <w:ind w:left="789" w:leftChars="200" w:hanging="369" w:hangingChars="154"/>
        <w:outlineLvl w:val="2"/>
        <w:rPr>
          <w:bCs/>
          <w:color w:val="000000"/>
          <w:sz w:val="24"/>
        </w:rPr>
      </w:pPr>
    </w:p>
    <w:p>
      <w:pPr>
        <w:pStyle w:val="4"/>
        <w:keepNext w:val="0"/>
        <w:keepLines w:val="0"/>
        <w:widowControl/>
        <w:suppressLineNumbers w:val="0"/>
        <w:pBdr>
          <w:bottom w:val="none" w:color="auto" w:sz="0" w:space="0"/>
        </w:pBdr>
        <w:shd w:val="clear" w:color="auto" w:fill="FFFFFF"/>
        <w:spacing w:before="288" w:beforeAutospacing="0" w:after="96" w:afterAutospacing="0" w:line="336" w:lineRule="atLeast"/>
        <w:ind w:left="0" w:firstLine="240" w:firstLineChars="100"/>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color w:val="000000"/>
          <w:kern w:val="2"/>
          <w:sz w:val="24"/>
          <w:szCs w:val="24"/>
          <w:lang w:val="en-US" w:eastAsia="zh-CN" w:bidi="ar-SA"/>
        </w:rPr>
        <w:t>2.</w:t>
      </w:r>
      <w:r>
        <w:rPr>
          <w:rFonts w:hint="eastAsia" w:ascii="Times New Roman" w:hAnsi="Times New Roman" w:eastAsia="宋体" w:cs="Times New Roman"/>
          <w:b w:val="0"/>
          <w:bCs/>
          <w:color w:val="000000"/>
          <w:kern w:val="2"/>
          <w:sz w:val="24"/>
          <w:szCs w:val="24"/>
          <w:lang w:val="en-US" w:eastAsia="zh-CN" w:bidi="ar-SA"/>
        </w:rPr>
        <w:t>3</w:t>
      </w:r>
      <w:r>
        <w:rPr>
          <w:rFonts w:hint="eastAsia" w:ascii="Times New Roman" w:hAnsi="Times New Roman" w:cs="Times New Roman"/>
          <w:b w:val="0"/>
          <w:bCs/>
          <w:color w:val="000000"/>
          <w:kern w:val="2"/>
          <w:sz w:val="24"/>
          <w:szCs w:val="24"/>
          <w:lang w:val="en-US" w:eastAsia="zh-CN" w:bidi="ar-SA"/>
        </w:rPr>
        <w:t xml:space="preserve"> </w:t>
      </w:r>
      <w:r>
        <w:rPr>
          <w:rFonts w:hint="default" w:ascii="Times New Roman" w:hAnsi="Times New Roman" w:eastAsia="宋体" w:cs="Times New Roman"/>
          <w:b w:val="0"/>
          <w:bCs/>
          <w:color w:val="000000"/>
          <w:kern w:val="2"/>
          <w:sz w:val="24"/>
          <w:szCs w:val="24"/>
          <w:lang w:val="en-US" w:eastAsia="zh-CN" w:bidi="ar-SA"/>
        </w:rPr>
        <w:t>IPv6网络支持服务</w:t>
      </w:r>
    </w:p>
    <w:tbl>
      <w:tblPr>
        <w:tblStyle w:val="1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43"/>
        <w:gridCol w:w="3867"/>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28" w:type="dxa"/>
            <w:gridSpan w:val="2"/>
            <w:noWrap w:val="0"/>
            <w:vAlign w:val="center"/>
          </w:tcPr>
          <w:p>
            <w:pPr>
              <w:widowControl/>
              <w:adjustRightInd w:val="0"/>
              <w:spacing w:line="240" w:lineRule="atLeast"/>
              <w:jc w:val="center"/>
              <w:textAlignment w:val="baseline"/>
              <w:rPr>
                <w:color w:val="000000"/>
                <w:kern w:val="0"/>
                <w:szCs w:val="21"/>
              </w:rPr>
            </w:pPr>
            <w:r>
              <w:rPr>
                <w:color w:val="000000"/>
                <w:kern w:val="0"/>
                <w:szCs w:val="21"/>
              </w:rPr>
              <w:t>运行维护事项</w:t>
            </w:r>
          </w:p>
        </w:tc>
        <w:tc>
          <w:tcPr>
            <w:tcW w:w="3867"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具体工作内容</w:t>
            </w:r>
          </w:p>
        </w:tc>
        <w:tc>
          <w:tcPr>
            <w:tcW w:w="2924"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维护范围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5" w:type="dxa"/>
            <w:vMerge w:val="restart"/>
            <w:noWrap w:val="0"/>
            <w:vAlign w:val="center"/>
          </w:tcPr>
          <w:p>
            <w:pPr>
              <w:widowControl/>
              <w:adjustRightInd w:val="0"/>
              <w:spacing w:line="240" w:lineRule="atLeast"/>
              <w:jc w:val="center"/>
              <w:textAlignment w:val="baseline"/>
              <w:rPr>
                <w:rFonts w:hint="default" w:eastAsia="宋体"/>
                <w:b/>
                <w:bCs/>
                <w:color w:val="000000"/>
                <w:kern w:val="0"/>
                <w:szCs w:val="21"/>
                <w:lang w:val="en-US" w:eastAsia="zh-CN"/>
              </w:rPr>
            </w:pPr>
            <w:r>
              <w:rPr>
                <w:rFonts w:hint="eastAsia"/>
                <w:b/>
                <w:bCs/>
                <w:color w:val="000000"/>
                <w:kern w:val="0"/>
                <w:szCs w:val="21"/>
                <w:lang w:val="en-US" w:eastAsia="zh-CN"/>
              </w:rPr>
              <w:t>系统</w:t>
            </w:r>
            <w:r>
              <w:rPr>
                <w:rFonts w:hint="default"/>
                <w:b/>
                <w:bCs/>
                <w:color w:val="000000"/>
                <w:kern w:val="0"/>
                <w:szCs w:val="21"/>
                <w:lang w:val="en-US" w:eastAsia="zh-CN"/>
              </w:rPr>
              <w:t>IPv6网络支持</w:t>
            </w:r>
            <w:r>
              <w:rPr>
                <w:rFonts w:hint="eastAsia"/>
                <w:b/>
                <w:bCs/>
                <w:color w:val="000000"/>
                <w:kern w:val="0"/>
                <w:szCs w:val="21"/>
                <w:lang w:val="en-US" w:eastAsia="zh-CN"/>
              </w:rPr>
              <w:t>改造</w:t>
            </w:r>
          </w:p>
        </w:tc>
        <w:tc>
          <w:tcPr>
            <w:tcW w:w="1043"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系统兼容性改造</w:t>
            </w:r>
          </w:p>
        </w:tc>
        <w:tc>
          <w:tcPr>
            <w:tcW w:w="3867" w:type="dxa"/>
            <w:noWrap w:val="0"/>
            <w:vAlign w:val="center"/>
          </w:tcPr>
          <w:p>
            <w:pPr>
              <w:widowControl/>
              <w:adjustRightInd w:val="0"/>
              <w:spacing w:line="240" w:lineRule="atLeast"/>
              <w:jc w:val="left"/>
              <w:textAlignment w:val="baseline"/>
              <w:rPr>
                <w:color w:val="000000"/>
                <w:kern w:val="0"/>
                <w:szCs w:val="21"/>
              </w:rPr>
            </w:pPr>
            <w:r>
              <w:rPr>
                <w:color w:val="000000"/>
                <w:kern w:val="0"/>
                <w:szCs w:val="21"/>
              </w:rPr>
              <w:t>修改应用程序代码，支持 IPv6 地址格式解析和处理，确保数据库连接、API 调用等功能在 IPv6 环境下正常运行。</w:t>
            </w:r>
          </w:p>
          <w:p>
            <w:pPr>
              <w:widowControl/>
              <w:adjustRightInd w:val="0"/>
              <w:spacing w:line="240" w:lineRule="atLeast"/>
              <w:jc w:val="center"/>
              <w:textAlignment w:val="baseline"/>
              <w:rPr>
                <w:color w:val="000000"/>
                <w:kern w:val="0"/>
                <w:szCs w:val="21"/>
              </w:rPr>
            </w:pPr>
            <w:r>
              <w:rPr>
                <w:rFonts w:hint="default"/>
                <w:color w:val="000000"/>
                <w:kern w:val="0"/>
                <w:szCs w:val="21"/>
              </w:rPr>
              <w:t>对系统域名配置 AAAA 记录，实现 IPv6域名解析，支持用户通过IPv6 网络直接访问系统 Web 界面。</w:t>
            </w:r>
          </w:p>
          <w:p>
            <w:pPr>
              <w:widowControl/>
              <w:adjustRightInd w:val="0"/>
              <w:spacing w:line="240" w:lineRule="atLeast"/>
              <w:jc w:val="left"/>
              <w:textAlignment w:val="baseline"/>
              <w:rPr>
                <w:color w:val="000000"/>
                <w:kern w:val="0"/>
                <w:szCs w:val="21"/>
              </w:rPr>
            </w:pPr>
            <w:r>
              <w:rPr>
                <w:rFonts w:hint="default"/>
                <w:color w:val="000000"/>
                <w:kern w:val="0"/>
                <w:szCs w:val="21"/>
              </w:rPr>
              <w:t>验证第三方服务（如短信平台、微信接口）的 IPv6 兼容性，必要时配置代理服务器实现协议转换。</w:t>
            </w:r>
          </w:p>
        </w:tc>
        <w:tc>
          <w:tcPr>
            <w:tcW w:w="2924" w:type="dxa"/>
            <w:noWrap w:val="0"/>
            <w:vAlign w:val="center"/>
          </w:tcPr>
          <w:p>
            <w:pPr>
              <w:widowControl/>
              <w:adjustRightInd w:val="0"/>
              <w:spacing w:line="240" w:lineRule="atLeast"/>
              <w:jc w:val="center"/>
              <w:textAlignment w:val="baseline"/>
              <w:rPr>
                <w:color w:val="000000"/>
                <w:kern w:val="0"/>
                <w:szCs w:val="21"/>
              </w:rPr>
            </w:pPr>
            <w:r>
              <w:rPr>
                <w:rFonts w:hint="eastAsia"/>
                <w:color w:val="000000"/>
                <w:kern w:val="0"/>
                <w:szCs w:val="21"/>
                <w:lang w:val="en-US" w:eastAsia="zh-CN"/>
              </w:rPr>
              <w:t>业务系统相关</w:t>
            </w:r>
            <w:r>
              <w:rPr>
                <w:color w:val="000000"/>
                <w:kern w:val="0"/>
                <w:szCs w:val="21"/>
              </w:rPr>
              <w:t>服务器与存储设备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85" w:type="dxa"/>
            <w:vMerge w:val="continue"/>
            <w:noWrap w:val="0"/>
            <w:vAlign w:val="center"/>
          </w:tcPr>
          <w:p>
            <w:pPr>
              <w:widowControl/>
              <w:adjustRightInd w:val="0"/>
              <w:spacing w:line="240" w:lineRule="atLeast"/>
              <w:jc w:val="left"/>
              <w:textAlignment w:val="baseline"/>
              <w:rPr>
                <w:b/>
                <w:bCs/>
                <w:color w:val="000000"/>
                <w:kern w:val="0"/>
                <w:szCs w:val="21"/>
              </w:rPr>
            </w:pPr>
          </w:p>
        </w:tc>
        <w:tc>
          <w:tcPr>
            <w:tcW w:w="1043" w:type="dxa"/>
            <w:noWrap w:val="0"/>
            <w:vAlign w:val="center"/>
          </w:tcPr>
          <w:p>
            <w:pPr>
              <w:widowControl/>
              <w:adjustRightInd w:val="0"/>
              <w:spacing w:line="240" w:lineRule="atLeast"/>
              <w:jc w:val="center"/>
              <w:textAlignment w:val="baseline"/>
              <w:rPr>
                <w:color w:val="000000"/>
                <w:kern w:val="0"/>
                <w:szCs w:val="21"/>
              </w:rPr>
            </w:pPr>
            <w:r>
              <w:rPr>
                <w:color w:val="000000"/>
                <w:kern w:val="0"/>
                <w:szCs w:val="21"/>
              </w:rPr>
              <w:t>测试与验证</w:t>
            </w:r>
          </w:p>
        </w:tc>
        <w:tc>
          <w:tcPr>
            <w:tcW w:w="3867" w:type="dxa"/>
            <w:noWrap w:val="0"/>
            <w:vAlign w:val="center"/>
          </w:tcPr>
          <w:p>
            <w:pPr>
              <w:widowControl/>
              <w:adjustRightInd w:val="0"/>
              <w:spacing w:line="240" w:lineRule="atLeast"/>
              <w:jc w:val="center"/>
              <w:textAlignment w:val="baseline"/>
              <w:rPr>
                <w:rFonts w:hint="default"/>
                <w:color w:val="000000"/>
                <w:kern w:val="0"/>
                <w:szCs w:val="21"/>
              </w:rPr>
            </w:pPr>
            <w:r>
              <w:rPr>
                <w:rFonts w:hint="default"/>
                <w:color w:val="000000"/>
                <w:kern w:val="0"/>
                <w:szCs w:val="21"/>
              </w:rPr>
              <w:t>建立 IPv6 测试环境，模拟网络条件，验证系统在 IPv6 环境下的功能完整性（如数据采集、报表生成）。</w:t>
            </w:r>
          </w:p>
          <w:p>
            <w:pPr>
              <w:widowControl/>
              <w:adjustRightInd w:val="0"/>
              <w:spacing w:line="240" w:lineRule="atLeast"/>
              <w:jc w:val="center"/>
              <w:textAlignment w:val="baseline"/>
              <w:rPr>
                <w:color w:val="000000"/>
                <w:kern w:val="0"/>
                <w:szCs w:val="21"/>
              </w:rPr>
            </w:pPr>
            <w:r>
              <w:rPr>
                <w:rFonts w:hint="default"/>
                <w:color w:val="000000"/>
                <w:kern w:val="0"/>
                <w:szCs w:val="21"/>
              </w:rPr>
              <w:t>执行网络连通性测试，确保所有功能模块（排水监控、重点考核站管理等）可通过 IPv6 网络正常访问，无丢包或延迟异常。</w:t>
            </w:r>
          </w:p>
        </w:tc>
        <w:tc>
          <w:tcPr>
            <w:tcW w:w="2924" w:type="dxa"/>
            <w:noWrap w:val="0"/>
            <w:vAlign w:val="center"/>
          </w:tcPr>
          <w:p>
            <w:pPr>
              <w:widowControl/>
              <w:adjustRightInd w:val="0"/>
              <w:spacing w:line="240" w:lineRule="atLeast"/>
              <w:jc w:val="center"/>
              <w:textAlignment w:val="baseline"/>
              <w:rPr>
                <w:color w:val="000000"/>
                <w:kern w:val="0"/>
                <w:szCs w:val="21"/>
              </w:rPr>
            </w:pPr>
            <w:r>
              <w:rPr>
                <w:rFonts w:hint="eastAsia"/>
                <w:color w:val="000000"/>
                <w:kern w:val="0"/>
                <w:szCs w:val="21"/>
                <w:lang w:val="en-US" w:eastAsia="zh-CN"/>
              </w:rPr>
              <w:t>业务系统相关</w:t>
            </w:r>
            <w:r>
              <w:rPr>
                <w:color w:val="000000"/>
                <w:kern w:val="0"/>
                <w:szCs w:val="21"/>
              </w:rPr>
              <w:t>服务器与存储设备</w:t>
            </w:r>
          </w:p>
        </w:tc>
      </w:tr>
    </w:tbl>
    <w:p>
      <w:pPr>
        <w:adjustRightInd w:val="0"/>
        <w:snapToGrid w:val="0"/>
        <w:spacing w:line="440" w:lineRule="exact"/>
        <w:ind w:left="850" w:hanging="849" w:hangingChars="354"/>
        <w:rPr>
          <w:bCs/>
          <w:color w:val="000000"/>
          <w:sz w:val="24"/>
        </w:rPr>
      </w:pPr>
    </w:p>
    <w:p>
      <w:pPr>
        <w:adjustRightInd w:val="0"/>
        <w:snapToGrid w:val="0"/>
        <w:spacing w:line="440" w:lineRule="exact"/>
        <w:ind w:left="850" w:hanging="849" w:hangingChars="354"/>
        <w:outlineLvl w:val="2"/>
        <w:rPr>
          <w:bCs/>
          <w:color w:val="000000"/>
          <w:sz w:val="24"/>
        </w:rPr>
      </w:pPr>
      <w:r>
        <w:rPr>
          <w:bCs/>
          <w:color w:val="000000"/>
          <w:sz w:val="24"/>
        </w:rPr>
        <w:t>2.4系统软件代码优化服务</w:t>
      </w:r>
    </w:p>
    <w:p>
      <w:pPr>
        <w:adjustRightInd w:val="0"/>
        <w:snapToGrid w:val="0"/>
        <w:spacing w:line="440" w:lineRule="exact"/>
        <w:ind w:firstLine="480" w:firstLineChars="200"/>
        <w:rPr>
          <w:rFonts w:hint="eastAsia" w:eastAsia="宋体"/>
          <w:bCs/>
          <w:color w:val="000000"/>
          <w:sz w:val="24"/>
          <w:lang w:eastAsia="zh-CN"/>
        </w:rPr>
      </w:pPr>
      <w:r>
        <w:rPr>
          <w:rFonts w:ascii="Segoe UI Symbol" w:hAnsi="Segoe UI Symbol" w:cs="Segoe UI Symbol"/>
          <w:color w:val="000000"/>
          <w:sz w:val="24"/>
          <w:szCs w:val="21"/>
        </w:rPr>
        <w:t>★</w:t>
      </w:r>
      <w:r>
        <w:rPr>
          <w:bCs/>
          <w:color w:val="000000"/>
          <w:sz w:val="24"/>
        </w:rPr>
        <w:t>基于业务功能需求，从软件代码层面进行功能优化、BUG修复、新增功能模块优化等</w:t>
      </w:r>
      <w:r>
        <w:rPr>
          <w:rFonts w:hint="eastAsia"/>
          <w:bCs/>
          <w:color w:val="000000"/>
          <w:sz w:val="24"/>
          <w:lang w:eastAsia="zh-CN"/>
        </w:rPr>
        <w:t>。</w:t>
      </w:r>
    </w:p>
    <w:tbl>
      <w:tblPr>
        <w:tblStyle w:val="12"/>
        <w:tblW w:w="8519" w:type="dxa"/>
        <w:jc w:val="center"/>
        <w:tblInd w:w="0" w:type="dxa"/>
        <w:tblLayout w:type="fixed"/>
        <w:tblCellMar>
          <w:top w:w="0" w:type="dxa"/>
          <w:left w:w="108" w:type="dxa"/>
          <w:bottom w:w="0" w:type="dxa"/>
          <w:right w:w="108" w:type="dxa"/>
        </w:tblCellMar>
      </w:tblPr>
      <w:tblGrid>
        <w:gridCol w:w="798"/>
        <w:gridCol w:w="6233"/>
        <w:gridCol w:w="789"/>
        <w:gridCol w:w="699"/>
      </w:tblGrid>
      <w:tr>
        <w:tblPrEx>
          <w:tblLayout w:type="fixed"/>
          <w:tblCellMar>
            <w:top w:w="0" w:type="dxa"/>
            <w:left w:w="108" w:type="dxa"/>
            <w:bottom w:w="0" w:type="dxa"/>
            <w:right w:w="108" w:type="dxa"/>
          </w:tblCellMar>
        </w:tblPrEx>
        <w:trPr>
          <w:trHeight w:val="2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序号</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功能模块优化内容</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数量</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单位</w:t>
            </w:r>
          </w:p>
        </w:tc>
      </w:tr>
      <w:tr>
        <w:tblPrEx>
          <w:tblLayout w:type="fixed"/>
          <w:tblCellMar>
            <w:top w:w="0" w:type="dxa"/>
            <w:left w:w="108" w:type="dxa"/>
            <w:bottom w:w="0" w:type="dxa"/>
            <w:right w:w="108" w:type="dxa"/>
          </w:tblCellMar>
        </w:tblPrEx>
        <w:trPr>
          <w:trHeight w:val="20"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240" w:lineRule="atLeast"/>
              <w:jc w:val="center"/>
              <w:textAlignment w:val="center"/>
              <w:rPr>
                <w:color w:val="000000"/>
                <w:kern w:val="0"/>
                <w:szCs w:val="21"/>
              </w:rPr>
            </w:pPr>
            <w:r>
              <w:rPr>
                <w:color w:val="000000"/>
                <w:kern w:val="0"/>
                <w:szCs w:val="21"/>
                <w:lang w:bidi="ar"/>
              </w:rPr>
              <w:t>1</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pBdr>
                <w:left w:val="none" w:color="auto" w:sz="0" w:space="0"/>
              </w:pBdr>
              <w:spacing w:before="48" w:beforeAutospacing="0" w:after="100" w:afterAutospacing="1" w:line="336" w:lineRule="atLeast"/>
              <w:jc w:val="left"/>
              <w:rPr>
                <w:color w:val="000000"/>
                <w:kern w:val="0"/>
                <w:szCs w:val="21"/>
              </w:rPr>
            </w:pPr>
            <w:r>
              <w:rPr>
                <w:color w:val="000000"/>
                <w:kern w:val="0"/>
                <w:szCs w:val="21"/>
                <w:lang w:bidi="ar"/>
              </w:rPr>
              <w:t>数据接收模块</w:t>
            </w:r>
            <w:r>
              <w:rPr>
                <w:rFonts w:hint="eastAsia"/>
                <w:color w:val="000000"/>
                <w:kern w:val="0"/>
                <w:szCs w:val="21"/>
                <w:lang w:val="en-US" w:eastAsia="zh-CN" w:bidi="ar"/>
              </w:rPr>
              <w:t>优化</w:t>
            </w:r>
            <w:r>
              <w:rPr>
                <w:color w:val="000000"/>
                <w:kern w:val="0"/>
                <w:szCs w:val="21"/>
                <w:lang w:bidi="ar"/>
              </w:rPr>
              <w:t>:重构基于 TCP/IP 的实时数据接收引擎，替换原有轮询机制为事件驱动模式（采用 Netty 框架），支持并发接收多站点（≥</w:t>
            </w:r>
            <w:r>
              <w:rPr>
                <w:rFonts w:hint="eastAsia"/>
                <w:color w:val="000000"/>
                <w:kern w:val="0"/>
                <w:szCs w:val="21"/>
                <w:lang w:val="en-US" w:eastAsia="zh-CN" w:bidi="ar"/>
              </w:rPr>
              <w:t>20</w:t>
            </w:r>
            <w:r>
              <w:rPr>
                <w:color w:val="000000"/>
                <w:kern w:val="0"/>
                <w:szCs w:val="21"/>
                <w:lang w:bidi="ar"/>
              </w:rPr>
              <w:t>0 个监测点）传感器数据，数据接收延迟控制在 1 秒内。</w:t>
            </w:r>
            <w:r>
              <w:rPr>
                <w:rFonts w:hint="default"/>
                <w:color w:val="000000"/>
                <w:kern w:val="0"/>
                <w:szCs w:val="21"/>
                <w:lang w:bidi="ar"/>
              </w:rPr>
              <w:t>新增数据校验层，实现 “采集 - 传输 - 解析” 全链路校验：传感器端采用 CRC 冗余校验，系统端通过</w:t>
            </w:r>
            <w:r>
              <w:rPr>
                <w:rFonts w:hint="eastAsia"/>
                <w:color w:val="000000"/>
                <w:kern w:val="0"/>
                <w:szCs w:val="21"/>
                <w:lang w:val="en-US" w:eastAsia="zh-CN" w:bidi="ar"/>
              </w:rPr>
              <w:t>HJ212协议</w:t>
            </w:r>
            <w:r>
              <w:rPr>
                <w:rFonts w:hint="default"/>
                <w:color w:val="000000"/>
                <w:kern w:val="0"/>
                <w:szCs w:val="21"/>
                <w:lang w:bidi="ar"/>
              </w:rPr>
              <w:t>验证数据格式。开发断点续传功能，当网络中断恢复后，自动补传中断期间的缓存数据（本地缓存保留≥24 小时），确保数据</w:t>
            </w:r>
            <w:r>
              <w:rPr>
                <w:rFonts w:hint="default" w:ascii="Segoe UI" w:hAnsi="Segoe UI" w:eastAsia="Segoe UI" w:cs="Segoe UI"/>
                <w:i w:val="0"/>
                <w:iCs w:val="0"/>
                <w:caps w:val="0"/>
                <w:spacing w:val="0"/>
                <w:sz w:val="19"/>
                <w:szCs w:val="19"/>
                <w:shd w:val="clear" w:color="auto" w:fill="FFFFFF"/>
              </w:rPr>
              <w:t>完整性。</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rPr>
              <w:t>项</w:t>
            </w:r>
          </w:p>
        </w:tc>
      </w:tr>
      <w:tr>
        <w:tblPrEx>
          <w:tblLayout w:type="fixed"/>
          <w:tblCellMar>
            <w:top w:w="0" w:type="dxa"/>
            <w:left w:w="108" w:type="dxa"/>
            <w:bottom w:w="0" w:type="dxa"/>
            <w:right w:w="108" w:type="dxa"/>
          </w:tblCellMar>
        </w:tblPrEx>
        <w:trPr>
          <w:trHeight w:val="20"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240" w:lineRule="atLeast"/>
              <w:jc w:val="center"/>
              <w:textAlignment w:val="center"/>
              <w:rPr>
                <w:color w:val="000000"/>
                <w:kern w:val="0"/>
                <w:szCs w:val="21"/>
              </w:rPr>
            </w:pPr>
            <w:r>
              <w:rPr>
                <w:color w:val="000000"/>
                <w:kern w:val="0"/>
                <w:szCs w:val="21"/>
                <w:lang w:bidi="ar"/>
              </w:rPr>
              <w:t>2</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pBdr>
                <w:left w:val="none" w:color="auto" w:sz="0" w:space="0"/>
              </w:pBdr>
              <w:spacing w:before="48" w:beforeAutospacing="0" w:after="100" w:afterAutospacing="1" w:line="336" w:lineRule="atLeast"/>
              <w:jc w:val="left"/>
              <w:rPr>
                <w:color w:val="000000"/>
                <w:kern w:val="0"/>
                <w:szCs w:val="21"/>
              </w:rPr>
            </w:pPr>
            <w:r>
              <w:rPr>
                <w:rFonts w:hint="default"/>
                <w:color w:val="000000"/>
                <w:kern w:val="0"/>
                <w:szCs w:val="21"/>
                <w:lang w:bidi="ar"/>
              </w:rPr>
              <w:t>分库分表设计：将系统数据</w:t>
            </w:r>
            <w:r>
              <w:rPr>
                <w:rFonts w:hint="eastAsia"/>
                <w:color w:val="000000"/>
                <w:kern w:val="0"/>
                <w:szCs w:val="21"/>
                <w:lang w:val="en-US" w:eastAsia="zh-CN" w:bidi="ar"/>
              </w:rPr>
              <w:t>库</w:t>
            </w:r>
            <w:r>
              <w:rPr>
                <w:rFonts w:hint="default"/>
                <w:color w:val="000000"/>
                <w:kern w:val="0"/>
                <w:szCs w:val="21"/>
                <w:lang w:bidi="ar"/>
              </w:rPr>
              <w:t xml:space="preserve">拆分为 “实时监测库”“历史归档库”“业务管理库”，分别存储实时数据（保留 </w:t>
            </w:r>
            <w:r>
              <w:rPr>
                <w:rFonts w:hint="eastAsia"/>
                <w:color w:val="000000"/>
                <w:kern w:val="0"/>
                <w:szCs w:val="21"/>
                <w:lang w:val="en-US" w:eastAsia="zh-CN" w:bidi="ar"/>
              </w:rPr>
              <w:t>1</w:t>
            </w:r>
            <w:r>
              <w:rPr>
                <w:rFonts w:hint="default"/>
                <w:color w:val="000000"/>
                <w:kern w:val="0"/>
                <w:szCs w:val="21"/>
                <w:lang w:bidi="ar"/>
              </w:rPr>
              <w:t xml:space="preserve"> 个月）、历史数据（长期存储）、设施 / 许可等业务数据，降低单库压力。按时间 + 区域分表：实时监测库中，将monitor_data表按 “月 + 乡镇” 水平拆分（如monitor_data_202401_gaoliying），每个分表数据量控制在 500 万条以内；历史归档库采用分区表（按</w:t>
            </w:r>
            <w:r>
              <w:rPr>
                <w:rFonts w:hint="eastAsia"/>
                <w:color w:val="000000"/>
                <w:kern w:val="0"/>
                <w:szCs w:val="21"/>
                <w:lang w:val="en-US" w:eastAsia="zh-CN" w:bidi="ar"/>
              </w:rPr>
              <w:t>月</w:t>
            </w:r>
            <w:r>
              <w:rPr>
                <w:rFonts w:hint="default"/>
                <w:color w:val="000000"/>
                <w:kern w:val="0"/>
                <w:szCs w:val="21"/>
                <w:lang w:bidi="ar"/>
              </w:rPr>
              <w:t>分区），支持快速查询指定</w:t>
            </w:r>
            <w:r>
              <w:rPr>
                <w:rFonts w:hint="eastAsia"/>
                <w:color w:val="000000"/>
                <w:kern w:val="0"/>
                <w:szCs w:val="21"/>
                <w:lang w:val="en-US" w:eastAsia="zh-CN" w:bidi="ar"/>
              </w:rPr>
              <w:t>月</w:t>
            </w:r>
            <w:r>
              <w:rPr>
                <w:rFonts w:hint="default"/>
                <w:color w:val="000000"/>
                <w:kern w:val="0"/>
                <w:szCs w:val="21"/>
                <w:lang w:bidi="ar"/>
              </w:rPr>
              <w:t xml:space="preserve">份数据。新增冷热数据分离机制：自动将超过 </w:t>
            </w:r>
            <w:r>
              <w:rPr>
                <w:rFonts w:hint="eastAsia"/>
                <w:color w:val="000000"/>
                <w:kern w:val="0"/>
                <w:szCs w:val="21"/>
                <w:lang w:val="en-US" w:eastAsia="zh-CN" w:bidi="ar"/>
              </w:rPr>
              <w:t>1</w:t>
            </w:r>
            <w:r>
              <w:rPr>
                <w:rFonts w:hint="default"/>
                <w:color w:val="000000"/>
                <w:kern w:val="0"/>
                <w:szCs w:val="21"/>
                <w:lang w:bidi="ar"/>
              </w:rPr>
              <w:t xml:space="preserve"> 个月的实时数据归档至历史库，归档过程采用异步任务执行，不影响系统运行。</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rPr>
              <w:t>项</w:t>
            </w:r>
          </w:p>
        </w:tc>
      </w:tr>
      <w:tr>
        <w:tblPrEx>
          <w:tblLayout w:type="fixed"/>
          <w:tblCellMar>
            <w:top w:w="0" w:type="dxa"/>
            <w:left w:w="108" w:type="dxa"/>
            <w:bottom w:w="0" w:type="dxa"/>
            <w:right w:w="108" w:type="dxa"/>
          </w:tblCellMar>
        </w:tblPrEx>
        <w:trPr>
          <w:trHeight w:val="20"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240" w:lineRule="atLeast"/>
              <w:jc w:val="center"/>
              <w:textAlignment w:val="center"/>
              <w:rPr>
                <w:color w:val="000000"/>
                <w:kern w:val="0"/>
                <w:szCs w:val="21"/>
              </w:rPr>
            </w:pPr>
            <w:r>
              <w:rPr>
                <w:color w:val="000000"/>
                <w:kern w:val="0"/>
                <w:szCs w:val="21"/>
                <w:lang w:bidi="ar"/>
              </w:rPr>
              <w:t>3</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pBdr>
                <w:left w:val="none" w:color="auto" w:sz="0" w:space="0"/>
              </w:pBdr>
              <w:spacing w:before="48" w:beforeAutospacing="0" w:after="100" w:afterAutospacing="1" w:line="336" w:lineRule="atLeast"/>
              <w:jc w:val="left"/>
              <w:rPr>
                <w:rFonts w:hint="eastAsia" w:eastAsia="宋体"/>
                <w:color w:val="000000"/>
                <w:kern w:val="0"/>
                <w:szCs w:val="21"/>
                <w:lang w:eastAsia="zh-CN"/>
              </w:rPr>
            </w:pPr>
            <w:r>
              <w:rPr>
                <w:rFonts w:hint="default"/>
                <w:color w:val="000000"/>
                <w:kern w:val="0"/>
                <w:szCs w:val="21"/>
                <w:lang w:bidi="ar"/>
              </w:rPr>
              <w:t>查询性能优化</w:t>
            </w:r>
            <w:r>
              <w:rPr>
                <w:rFonts w:hint="eastAsia"/>
                <w:color w:val="000000"/>
                <w:kern w:val="0"/>
                <w:szCs w:val="21"/>
                <w:lang w:eastAsia="zh-CN" w:bidi="ar"/>
              </w:rPr>
              <w:t>：</w:t>
            </w:r>
            <w:r>
              <w:rPr>
                <w:rFonts w:hint="default"/>
                <w:color w:val="000000"/>
                <w:kern w:val="0"/>
                <w:szCs w:val="21"/>
                <w:lang w:bidi="ar"/>
              </w:rPr>
              <w:t xml:space="preserve">针对高频查询场景（如 “近 24 小时某站点 COD 数据”），创建复合索引（station_id+monitor_time+indicator），查询响应时间从原 </w:t>
            </w:r>
            <w:r>
              <w:rPr>
                <w:rFonts w:hint="eastAsia"/>
                <w:color w:val="000000"/>
                <w:kern w:val="0"/>
                <w:szCs w:val="21"/>
                <w:lang w:val="en-US" w:eastAsia="zh-CN" w:bidi="ar"/>
              </w:rPr>
              <w:t>5</w:t>
            </w:r>
            <w:r>
              <w:rPr>
                <w:rFonts w:hint="default"/>
                <w:color w:val="000000"/>
                <w:kern w:val="0"/>
                <w:szCs w:val="21"/>
                <w:lang w:bidi="ar"/>
              </w:rPr>
              <w:t>-</w:t>
            </w:r>
            <w:r>
              <w:rPr>
                <w:rFonts w:hint="eastAsia"/>
                <w:color w:val="000000"/>
                <w:kern w:val="0"/>
                <w:szCs w:val="21"/>
                <w:lang w:val="en-US" w:eastAsia="zh-CN" w:bidi="ar"/>
              </w:rPr>
              <w:t>10</w:t>
            </w:r>
            <w:r>
              <w:rPr>
                <w:rFonts w:hint="default"/>
                <w:color w:val="000000"/>
                <w:kern w:val="0"/>
                <w:szCs w:val="21"/>
                <w:lang w:bidi="ar"/>
              </w:rPr>
              <w:t xml:space="preserve"> 秒优化至≤</w:t>
            </w:r>
            <w:r>
              <w:rPr>
                <w:rFonts w:hint="eastAsia"/>
                <w:color w:val="000000"/>
                <w:kern w:val="0"/>
                <w:szCs w:val="21"/>
                <w:lang w:val="en-US" w:eastAsia="zh-CN" w:bidi="ar"/>
              </w:rPr>
              <w:t>1</w:t>
            </w:r>
            <w:r>
              <w:rPr>
                <w:rFonts w:hint="default"/>
                <w:color w:val="000000"/>
                <w:kern w:val="0"/>
                <w:szCs w:val="21"/>
                <w:lang w:bidi="ar"/>
              </w:rPr>
              <w:t>秒。通过 MyCat 中间件实现自动路由，读请求吞吐量提升 2 倍。优化聚合计算逻辑：将 “乡镇月度污水处理总量” 等统计功能，从应用层计算迁移至数据库层，每日凌晨自动更新，查询耗时从分钟级降至秒级。</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rPr>
              <w:t>项</w:t>
            </w:r>
          </w:p>
        </w:tc>
      </w:tr>
      <w:tr>
        <w:tblPrEx>
          <w:tblLayout w:type="fixed"/>
          <w:tblCellMar>
            <w:top w:w="0" w:type="dxa"/>
            <w:left w:w="108" w:type="dxa"/>
            <w:bottom w:w="0" w:type="dxa"/>
            <w:right w:w="108" w:type="dxa"/>
          </w:tblCellMar>
        </w:tblPrEx>
        <w:trPr>
          <w:trHeight w:val="20"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240" w:lineRule="atLeast"/>
              <w:jc w:val="center"/>
              <w:textAlignment w:val="center"/>
              <w:rPr>
                <w:color w:val="000000"/>
                <w:kern w:val="0"/>
                <w:szCs w:val="21"/>
              </w:rPr>
            </w:pPr>
            <w:r>
              <w:rPr>
                <w:color w:val="000000"/>
                <w:kern w:val="0"/>
                <w:szCs w:val="21"/>
                <w:lang w:bidi="ar"/>
              </w:rPr>
              <w:t>4</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pBdr>
                <w:left w:val="none" w:color="auto" w:sz="0" w:space="0"/>
              </w:pBdr>
              <w:spacing w:before="48" w:beforeAutospacing="0" w:after="100" w:afterAutospacing="1" w:line="336" w:lineRule="atLeast"/>
              <w:jc w:val="left"/>
              <w:rPr>
                <w:color w:val="000000"/>
                <w:kern w:val="0"/>
                <w:szCs w:val="21"/>
              </w:rPr>
            </w:pPr>
            <w:r>
              <w:rPr>
                <w:rFonts w:hint="default"/>
                <w:color w:val="000000"/>
                <w:kern w:val="0"/>
                <w:szCs w:val="21"/>
                <w:lang w:val="en-US" w:eastAsia="zh-CN" w:bidi="ar"/>
              </w:rPr>
              <w:t>接口性能优化</w:t>
            </w:r>
            <w:r>
              <w:rPr>
                <w:rFonts w:hint="eastAsia"/>
                <w:color w:val="000000"/>
                <w:kern w:val="0"/>
                <w:szCs w:val="21"/>
                <w:lang w:val="en-US" w:eastAsia="zh-CN" w:bidi="ar"/>
              </w:rPr>
              <w:t>：</w:t>
            </w:r>
            <w:r>
              <w:rPr>
                <w:rFonts w:hint="default"/>
                <w:color w:val="000000"/>
                <w:kern w:val="0"/>
                <w:szCs w:val="21"/>
                <w:lang w:bidi="ar"/>
              </w:rPr>
              <w:t>对高频调用的 API 接口（如 “获取站点实时数据”）进行缓存优化：采用 Redis 缓存热点数据，设置 5 分钟过期时间，缓存命中率≥80%，接口响应时间从 500ms 优化至≤100ms。实现</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rPr>
              <w:t>项</w:t>
            </w:r>
          </w:p>
        </w:tc>
      </w:tr>
      <w:tr>
        <w:tblPrEx>
          <w:tblLayout w:type="fixed"/>
          <w:tblCellMar>
            <w:top w:w="0" w:type="dxa"/>
            <w:left w:w="108" w:type="dxa"/>
            <w:bottom w:w="0" w:type="dxa"/>
            <w:right w:w="108" w:type="dxa"/>
          </w:tblCellMar>
        </w:tblPrEx>
        <w:trPr>
          <w:trHeight w:val="20"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240" w:lineRule="atLeast"/>
              <w:jc w:val="center"/>
              <w:textAlignment w:val="center"/>
              <w:rPr>
                <w:color w:val="000000"/>
                <w:kern w:val="0"/>
                <w:szCs w:val="21"/>
              </w:rPr>
            </w:pPr>
            <w:r>
              <w:rPr>
                <w:color w:val="000000"/>
                <w:kern w:val="0"/>
                <w:szCs w:val="21"/>
                <w:lang w:bidi="ar"/>
              </w:rPr>
              <w:t>5</w:t>
            </w:r>
          </w:p>
        </w:tc>
        <w:tc>
          <w:tcPr>
            <w:tcW w:w="6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pBdr>
                <w:left w:val="none" w:color="auto" w:sz="0" w:space="0"/>
              </w:pBdr>
              <w:spacing w:before="48" w:beforeAutospacing="0" w:after="100" w:afterAutospacing="1" w:line="336" w:lineRule="atLeast"/>
              <w:jc w:val="left"/>
              <w:rPr>
                <w:color w:val="000000"/>
                <w:kern w:val="0"/>
                <w:szCs w:val="21"/>
              </w:rPr>
            </w:pPr>
            <w:r>
              <w:rPr>
                <w:rFonts w:hint="default"/>
                <w:color w:val="000000"/>
                <w:kern w:val="0"/>
                <w:szCs w:val="21"/>
                <w:lang w:bidi="ar"/>
              </w:rPr>
              <w:t>前端交互优化：重构数据可视化模块：采用 ECharts 增量渲染技术，对 “全区污水处理量趋势图” 等大数据量图表，仅更新变化部分数据，图表加载时间从 8-10 秒缩短至≤2 秒。实现前端资源懒加载：页面初始只加载可视区域组件（如当前乡镇的站点列表），滚动时再加载其他区域内容，首屏加载时间优化至≤3 秒。</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rPr>
              <w:t>项</w:t>
            </w:r>
          </w:p>
        </w:tc>
      </w:tr>
      <w:tr>
        <w:tblPrEx>
          <w:tblLayout w:type="fixed"/>
          <w:tblCellMar>
            <w:top w:w="0" w:type="dxa"/>
            <w:left w:w="108" w:type="dxa"/>
            <w:bottom w:w="0" w:type="dxa"/>
            <w:right w:w="108" w:type="dxa"/>
          </w:tblCellMar>
        </w:tblPrEx>
        <w:trPr>
          <w:trHeight w:val="20" w:hRule="atLeast"/>
          <w:jc w:val="center"/>
        </w:trPr>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240" w:lineRule="atLeast"/>
              <w:jc w:val="center"/>
              <w:textAlignment w:val="center"/>
              <w:rPr>
                <w:rFonts w:hint="eastAsia" w:eastAsia="宋体"/>
                <w:color w:val="000000"/>
                <w:kern w:val="0"/>
                <w:szCs w:val="21"/>
                <w:lang w:eastAsia="zh-CN"/>
              </w:rPr>
            </w:pPr>
            <w:r>
              <w:rPr>
                <w:rFonts w:hint="eastAsia"/>
                <w:color w:val="000000"/>
                <w:kern w:val="0"/>
                <w:szCs w:val="21"/>
                <w:lang w:val="en-US" w:eastAsia="zh-CN" w:bidi="ar"/>
              </w:rPr>
              <w:t>6</w:t>
            </w:r>
          </w:p>
        </w:tc>
        <w:tc>
          <w:tcPr>
            <w:tcW w:w="6233"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pacing w:line="240" w:lineRule="atLeast"/>
              <w:jc w:val="left"/>
              <w:textAlignment w:val="center"/>
              <w:rPr>
                <w:color w:val="000000"/>
                <w:kern w:val="0"/>
                <w:szCs w:val="21"/>
              </w:rPr>
            </w:pPr>
            <w:r>
              <w:rPr>
                <w:color w:val="000000"/>
                <w:kern w:val="0"/>
                <w:szCs w:val="21"/>
                <w:lang w:bidi="ar"/>
              </w:rPr>
              <w:t>系统优化后的代码功进行兼容性测试、BUG修复、试运行</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lang w:bidi="ar"/>
              </w:rPr>
              <w:t>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pacing w:line="240" w:lineRule="atLeast"/>
              <w:jc w:val="center"/>
              <w:textAlignment w:val="center"/>
              <w:rPr>
                <w:color w:val="000000"/>
                <w:kern w:val="0"/>
                <w:szCs w:val="21"/>
              </w:rPr>
            </w:pPr>
            <w:r>
              <w:rPr>
                <w:color w:val="000000"/>
                <w:kern w:val="0"/>
                <w:szCs w:val="21"/>
              </w:rPr>
              <w:t>项</w:t>
            </w:r>
          </w:p>
        </w:tc>
      </w:tr>
    </w:tbl>
    <w:p>
      <w:pPr>
        <w:adjustRightInd w:val="0"/>
        <w:spacing w:line="440" w:lineRule="exact"/>
        <w:ind w:firstLine="420" w:firstLineChars="0"/>
        <w:jc w:val="left"/>
        <w:textAlignment w:val="baseline"/>
        <w:outlineLvl w:val="1"/>
        <w:rPr>
          <w:b/>
          <w:bCs/>
          <w:color w:val="000000"/>
          <w:kern w:val="0"/>
          <w:sz w:val="24"/>
        </w:rPr>
      </w:pPr>
      <w:r>
        <w:rPr>
          <w:b/>
          <w:bCs/>
          <w:color w:val="000000"/>
          <w:kern w:val="0"/>
          <w:sz w:val="24"/>
        </w:rPr>
        <w:t>3.</w:t>
      </w:r>
      <w:r>
        <w:rPr>
          <w:b/>
          <w:bCs/>
          <w:color w:val="000000"/>
          <w:kern w:val="0"/>
          <w:sz w:val="24"/>
        </w:rPr>
        <w:tab/>
      </w:r>
      <w:r>
        <w:rPr>
          <w:b/>
          <w:bCs/>
          <w:color w:val="000000"/>
          <w:kern w:val="0"/>
          <w:sz w:val="24"/>
        </w:rPr>
        <w:t>服务要求</w:t>
      </w:r>
    </w:p>
    <w:p>
      <w:pPr>
        <w:adjustRightInd w:val="0"/>
        <w:snapToGrid w:val="0"/>
        <w:spacing w:line="440" w:lineRule="exact"/>
        <w:ind w:left="850" w:hanging="849" w:hangingChars="354"/>
        <w:outlineLvl w:val="2"/>
        <w:rPr>
          <w:bCs/>
          <w:sz w:val="24"/>
        </w:rPr>
      </w:pPr>
      <w:r>
        <w:rPr>
          <w:bCs/>
          <w:color w:val="000000"/>
          <w:sz w:val="24"/>
        </w:rPr>
        <w:t>3.1</w:t>
      </w:r>
      <w:r>
        <w:rPr>
          <w:bCs/>
          <w:sz w:val="24"/>
        </w:rPr>
        <w:tab/>
      </w:r>
      <w:r>
        <w:rPr>
          <w:bCs/>
          <w:sz w:val="24"/>
        </w:rPr>
        <w:t>技术支持服务</w:t>
      </w:r>
    </w:p>
    <w:p>
      <w:pPr>
        <w:adjustRightInd w:val="0"/>
        <w:snapToGrid w:val="0"/>
        <w:spacing w:line="440" w:lineRule="exact"/>
        <w:ind w:left="850" w:hanging="849" w:hangingChars="354"/>
        <w:rPr>
          <w:bCs/>
          <w:sz w:val="24"/>
        </w:rPr>
      </w:pPr>
      <w:r>
        <w:rPr>
          <w:bCs/>
          <w:sz w:val="24"/>
        </w:rPr>
        <w:t>3.1.1</w:t>
      </w:r>
      <w:r>
        <w:rPr>
          <w:bCs/>
          <w:sz w:val="24"/>
        </w:rPr>
        <w:tab/>
      </w:r>
      <w:r>
        <w:rPr>
          <w:bCs/>
          <w:sz w:val="24"/>
        </w:rPr>
        <w:t>投标人针对本项目成立运维服务团队。运维团队每个细化系统必须有专门的负责人员以满足用户方对系统的运维的需要。</w:t>
      </w:r>
    </w:p>
    <w:p>
      <w:pPr>
        <w:adjustRightInd w:val="0"/>
        <w:snapToGrid w:val="0"/>
        <w:spacing w:line="440" w:lineRule="exact"/>
        <w:ind w:left="850" w:hanging="849" w:hangingChars="354"/>
        <w:rPr>
          <w:bCs/>
          <w:sz w:val="24"/>
        </w:rPr>
      </w:pPr>
      <w:r>
        <w:rPr>
          <w:bCs/>
          <w:sz w:val="24"/>
        </w:rPr>
        <w:t>3.1.2</w:t>
      </w:r>
      <w:r>
        <w:rPr>
          <w:bCs/>
          <w:sz w:val="24"/>
        </w:rPr>
        <w:tab/>
      </w:r>
      <w:r>
        <w:rPr>
          <w:bCs/>
          <w:sz w:val="24"/>
        </w:rPr>
        <w:t>本项目能够提供5*8小时的现场技术支持服务和7*24小时远程技术支持服务。</w:t>
      </w:r>
    </w:p>
    <w:p>
      <w:pPr>
        <w:adjustRightInd w:val="0"/>
        <w:snapToGrid w:val="0"/>
        <w:spacing w:line="440" w:lineRule="exact"/>
        <w:ind w:left="850" w:hanging="849" w:hangingChars="354"/>
        <w:rPr>
          <w:bCs/>
          <w:sz w:val="24"/>
        </w:rPr>
      </w:pPr>
      <w:r>
        <w:rPr>
          <w:bCs/>
          <w:sz w:val="24"/>
        </w:rPr>
        <w:t>3.1.3</w:t>
      </w:r>
      <w:r>
        <w:rPr>
          <w:bCs/>
          <w:sz w:val="24"/>
        </w:rPr>
        <w:tab/>
      </w:r>
      <w:r>
        <w:rPr>
          <w:bCs/>
          <w:sz w:val="24"/>
        </w:rPr>
        <w:t>定期对业务系统软硬件进行状态监控、巡检和专业保养，记录并保存服务工单。</w:t>
      </w:r>
    </w:p>
    <w:p>
      <w:pPr>
        <w:adjustRightInd w:val="0"/>
        <w:snapToGrid w:val="0"/>
        <w:spacing w:line="440" w:lineRule="exact"/>
        <w:ind w:left="850" w:hanging="849" w:hangingChars="354"/>
        <w:rPr>
          <w:bCs/>
          <w:sz w:val="24"/>
        </w:rPr>
      </w:pPr>
      <w:r>
        <w:rPr>
          <w:bCs/>
          <w:sz w:val="24"/>
        </w:rPr>
        <w:t>3.1.4</w:t>
      </w:r>
      <w:r>
        <w:rPr>
          <w:bCs/>
          <w:sz w:val="24"/>
        </w:rPr>
        <w:tab/>
      </w:r>
      <w:r>
        <w:rPr>
          <w:bCs/>
          <w:sz w:val="24"/>
        </w:rPr>
        <w:t>对于用户方相关系统突发性的故障或突发性的性能下降，应根据故障级别及时处理。</w:t>
      </w:r>
    </w:p>
    <w:p>
      <w:pPr>
        <w:adjustRightInd w:val="0"/>
        <w:snapToGrid w:val="0"/>
        <w:spacing w:line="440" w:lineRule="exact"/>
        <w:ind w:left="850" w:hanging="849" w:hangingChars="354"/>
        <w:rPr>
          <w:bCs/>
          <w:color w:val="000000"/>
          <w:sz w:val="24"/>
        </w:rPr>
      </w:pPr>
      <w:r>
        <w:rPr>
          <w:bCs/>
          <w:color w:val="000000"/>
          <w:sz w:val="24"/>
        </w:rPr>
        <w:t>3.1.5</w:t>
      </w:r>
      <w:r>
        <w:rPr>
          <w:bCs/>
          <w:color w:val="000000"/>
          <w:sz w:val="24"/>
        </w:rPr>
        <w:tab/>
      </w:r>
      <w:r>
        <w:rPr>
          <w:bCs/>
          <w:color w:val="000000"/>
          <w:sz w:val="24"/>
        </w:rPr>
        <w:t>各业务系统需提供性能诊断与性能调优服务，通过分析、评估、调整，提高该业务系统的整体性能。</w:t>
      </w:r>
    </w:p>
    <w:p>
      <w:pPr>
        <w:adjustRightInd w:val="0"/>
        <w:snapToGrid w:val="0"/>
        <w:spacing w:line="440" w:lineRule="exact"/>
        <w:ind w:left="850" w:hanging="849" w:hangingChars="354"/>
        <w:outlineLvl w:val="2"/>
        <w:rPr>
          <w:bCs/>
          <w:color w:val="000000"/>
          <w:sz w:val="24"/>
        </w:rPr>
      </w:pPr>
      <w:r>
        <w:rPr>
          <w:bCs/>
          <w:color w:val="000000"/>
          <w:sz w:val="24"/>
        </w:rPr>
        <w:t>3.2</w:t>
      </w:r>
      <w:r>
        <w:rPr>
          <w:bCs/>
          <w:color w:val="000000"/>
          <w:sz w:val="24"/>
        </w:rPr>
        <w:tab/>
      </w:r>
      <w:r>
        <w:rPr>
          <w:bCs/>
          <w:color w:val="000000"/>
          <w:sz w:val="24"/>
        </w:rPr>
        <w:t>远程技术支持服务</w:t>
      </w:r>
    </w:p>
    <w:p>
      <w:pPr>
        <w:adjustRightInd w:val="0"/>
        <w:snapToGrid w:val="0"/>
        <w:spacing w:line="440" w:lineRule="exact"/>
        <w:ind w:left="850" w:hanging="849" w:hangingChars="354"/>
        <w:rPr>
          <w:bCs/>
          <w:color w:val="000000"/>
          <w:sz w:val="24"/>
        </w:rPr>
      </w:pPr>
      <w:r>
        <w:rPr>
          <w:bCs/>
          <w:color w:val="000000"/>
          <w:sz w:val="24"/>
        </w:rPr>
        <w:t>3.2.1</w:t>
      </w:r>
      <w:r>
        <w:rPr>
          <w:bCs/>
          <w:color w:val="000000"/>
          <w:sz w:val="24"/>
        </w:rPr>
        <w:tab/>
      </w:r>
      <w:r>
        <w:rPr>
          <w:bCs/>
          <w:color w:val="000000"/>
          <w:sz w:val="24"/>
        </w:rPr>
        <w:t>远程技术支持服务应由资深工程师或技术总监提供技术服务，进行技术咨询，故障分析，远程诊断，并对严重问题迅速升级，包括将问题升级到专家组或派遣原厂工程师迅速到达现场。电话支持服务为每周7天，每天24小时。</w:t>
      </w:r>
    </w:p>
    <w:p>
      <w:pPr>
        <w:adjustRightInd w:val="0"/>
        <w:snapToGrid w:val="0"/>
        <w:spacing w:line="440" w:lineRule="exact"/>
        <w:ind w:left="850" w:hanging="849" w:hangingChars="354"/>
        <w:rPr>
          <w:bCs/>
          <w:color w:val="000000"/>
          <w:sz w:val="24"/>
        </w:rPr>
      </w:pPr>
      <w:r>
        <w:rPr>
          <w:bCs/>
          <w:color w:val="000000"/>
          <w:sz w:val="24"/>
        </w:rPr>
        <w:t>3.2.2</w:t>
      </w:r>
      <w:r>
        <w:rPr>
          <w:bCs/>
          <w:color w:val="000000"/>
          <w:sz w:val="24"/>
        </w:rPr>
        <w:tab/>
      </w:r>
      <w:r>
        <w:rPr>
          <w:bCs/>
          <w:color w:val="000000"/>
          <w:sz w:val="24"/>
        </w:rPr>
        <w:t>投标人可通过电话、视频、邮件等方式提供技术支持服务：定期发放系统检查报告，提供技术文档等。</w:t>
      </w:r>
    </w:p>
    <w:p>
      <w:pPr>
        <w:adjustRightInd w:val="0"/>
        <w:snapToGrid w:val="0"/>
        <w:spacing w:line="440" w:lineRule="exact"/>
        <w:ind w:left="850" w:hanging="849" w:hangingChars="354"/>
        <w:outlineLvl w:val="2"/>
        <w:rPr>
          <w:bCs/>
          <w:color w:val="000000"/>
          <w:sz w:val="24"/>
        </w:rPr>
      </w:pPr>
      <w:r>
        <w:rPr>
          <w:bCs/>
          <w:color w:val="000000"/>
          <w:sz w:val="24"/>
        </w:rPr>
        <w:t>3.3</w:t>
      </w:r>
      <w:r>
        <w:rPr>
          <w:bCs/>
          <w:color w:val="000000"/>
          <w:sz w:val="24"/>
        </w:rPr>
        <w:tab/>
      </w:r>
      <w:r>
        <w:rPr>
          <w:bCs/>
          <w:color w:val="000000"/>
          <w:sz w:val="24"/>
        </w:rPr>
        <w:t>服务报告</w:t>
      </w:r>
    </w:p>
    <w:p>
      <w:pPr>
        <w:adjustRightInd w:val="0"/>
        <w:snapToGrid w:val="0"/>
        <w:spacing w:line="440" w:lineRule="exact"/>
        <w:ind w:left="850" w:hanging="849" w:hangingChars="354"/>
        <w:rPr>
          <w:bCs/>
          <w:color w:val="000000"/>
          <w:sz w:val="24"/>
        </w:rPr>
      </w:pPr>
      <w:r>
        <w:rPr>
          <w:bCs/>
          <w:color w:val="000000"/>
          <w:sz w:val="24"/>
        </w:rPr>
        <w:t>#3.3.1</w:t>
      </w:r>
      <w:r>
        <w:rPr>
          <w:bCs/>
          <w:color w:val="000000"/>
          <w:sz w:val="24"/>
        </w:rPr>
        <w:tab/>
      </w:r>
      <w:r>
        <w:rPr>
          <w:bCs/>
          <w:color w:val="000000"/>
          <w:sz w:val="24"/>
        </w:rPr>
        <w:t>投标人需定期提供完整的服务报告，分析IT问题和风险，提供有效支持IT决策。</w:t>
      </w:r>
    </w:p>
    <w:p>
      <w:pPr>
        <w:adjustRightInd w:val="0"/>
        <w:snapToGrid w:val="0"/>
        <w:spacing w:line="440" w:lineRule="exact"/>
        <w:ind w:left="850" w:hanging="849" w:hangingChars="354"/>
        <w:rPr>
          <w:bCs/>
          <w:color w:val="000000"/>
          <w:sz w:val="24"/>
        </w:rPr>
      </w:pPr>
      <w:r>
        <w:rPr>
          <w:bCs/>
          <w:color w:val="000000"/>
          <w:sz w:val="24"/>
        </w:rPr>
        <w:t>3.3.2</w:t>
      </w:r>
      <w:r>
        <w:rPr>
          <w:bCs/>
          <w:color w:val="000000"/>
          <w:sz w:val="24"/>
        </w:rPr>
        <w:tab/>
      </w:r>
      <w:r>
        <w:rPr>
          <w:bCs/>
          <w:color w:val="000000"/>
          <w:sz w:val="24"/>
        </w:rPr>
        <w:t>运维服务报告包含但不限于：</w:t>
      </w:r>
    </w:p>
    <w:p>
      <w:pPr>
        <w:numPr>
          <w:ilvl w:val="0"/>
          <w:numId w:val="1"/>
        </w:numPr>
        <w:adjustRightInd w:val="0"/>
        <w:snapToGrid w:val="0"/>
        <w:spacing w:line="440" w:lineRule="exact"/>
        <w:ind w:left="850" w:hanging="849" w:hangingChars="354"/>
        <w:jc w:val="left"/>
        <w:textAlignment w:val="baseline"/>
        <w:rPr>
          <w:color w:val="000000"/>
          <w:kern w:val="0"/>
          <w:sz w:val="24"/>
        </w:rPr>
      </w:pPr>
      <w:r>
        <w:rPr>
          <w:color w:val="000000"/>
          <w:kern w:val="0"/>
          <w:sz w:val="24"/>
        </w:rPr>
        <w:t>巡检/维修服务年报；</w:t>
      </w:r>
    </w:p>
    <w:p>
      <w:pPr>
        <w:numPr>
          <w:ilvl w:val="0"/>
          <w:numId w:val="1"/>
        </w:numPr>
        <w:adjustRightInd w:val="0"/>
        <w:snapToGrid w:val="0"/>
        <w:spacing w:line="440" w:lineRule="exact"/>
        <w:ind w:left="850" w:hanging="849" w:hangingChars="354"/>
        <w:jc w:val="left"/>
        <w:textAlignment w:val="baseline"/>
        <w:rPr>
          <w:color w:val="000000"/>
          <w:kern w:val="0"/>
          <w:sz w:val="24"/>
        </w:rPr>
      </w:pPr>
      <w:r>
        <w:rPr>
          <w:color w:val="000000"/>
          <w:kern w:val="0"/>
          <w:sz w:val="24"/>
        </w:rPr>
        <w:t>巡检/维修工作总结及次年工作计划。</w:t>
      </w:r>
    </w:p>
    <w:p>
      <w:pPr>
        <w:adjustRightInd w:val="0"/>
        <w:snapToGrid w:val="0"/>
        <w:spacing w:line="440" w:lineRule="exact"/>
        <w:ind w:left="850" w:hanging="849" w:hangingChars="354"/>
        <w:outlineLvl w:val="2"/>
        <w:rPr>
          <w:bCs/>
          <w:color w:val="000000"/>
          <w:sz w:val="24"/>
        </w:rPr>
      </w:pPr>
      <w:r>
        <w:rPr>
          <w:bCs/>
          <w:color w:val="000000"/>
          <w:sz w:val="24"/>
        </w:rPr>
        <w:t>3.4</w:t>
      </w:r>
      <w:r>
        <w:rPr>
          <w:bCs/>
          <w:color w:val="000000"/>
          <w:sz w:val="24"/>
        </w:rPr>
        <w:tab/>
      </w:r>
      <w:r>
        <w:rPr>
          <w:bCs/>
          <w:color w:val="000000"/>
          <w:sz w:val="24"/>
        </w:rPr>
        <w:t>信息安全保障服务</w:t>
      </w:r>
    </w:p>
    <w:p>
      <w:pPr>
        <w:adjustRightInd w:val="0"/>
        <w:snapToGrid w:val="0"/>
        <w:spacing w:line="440" w:lineRule="exact"/>
        <w:ind w:firstLine="480" w:firstLineChars="200"/>
        <w:rPr>
          <w:bCs/>
          <w:color w:val="000000"/>
          <w:sz w:val="24"/>
        </w:rPr>
      </w:pPr>
      <w:r>
        <w:rPr>
          <w:bCs/>
          <w:color w:val="000000"/>
          <w:sz w:val="24"/>
        </w:rPr>
        <w:t>保障应用业务系统的安全行，应采取相应的管理措施，确保业务系统的数据</w:t>
      </w:r>
      <w:r>
        <w:rPr>
          <w:rFonts w:hint="eastAsia"/>
          <w:bCs/>
          <w:color w:val="000000"/>
          <w:sz w:val="24"/>
          <w:lang w:eastAsia="zh-CN"/>
        </w:rPr>
        <w:t>。</w:t>
      </w:r>
      <w:r>
        <w:rPr>
          <w:bCs/>
          <w:color w:val="000000"/>
          <w:sz w:val="24"/>
        </w:rPr>
        <w:t>安全。定期进行软硬件巡检，及时按要求更新软件程序，对出现的安全风险提出合理的解决方案。</w:t>
      </w:r>
    </w:p>
    <w:p>
      <w:pPr>
        <w:adjustRightInd w:val="0"/>
        <w:snapToGrid w:val="0"/>
        <w:spacing w:line="440" w:lineRule="exact"/>
        <w:ind w:firstLine="480" w:firstLineChars="200"/>
        <w:rPr>
          <w:bCs/>
          <w:color w:val="000000"/>
          <w:sz w:val="24"/>
        </w:rPr>
      </w:pPr>
      <w:r>
        <w:rPr>
          <w:bCs/>
          <w:color w:val="000000"/>
          <w:sz w:val="24"/>
        </w:rPr>
        <w:t>应遵守</w:t>
      </w:r>
      <w:r>
        <w:rPr>
          <w:rFonts w:hint="eastAsia"/>
          <w:bCs/>
          <w:color w:val="000000"/>
          <w:sz w:val="24"/>
          <w:lang w:val="en-US" w:eastAsia="zh-CN"/>
        </w:rPr>
        <w:t>顺义区水务局</w:t>
      </w:r>
      <w:r>
        <w:rPr>
          <w:bCs/>
          <w:color w:val="000000"/>
          <w:sz w:val="24"/>
        </w:rPr>
        <w:t>安全管理办法，制定并遵守运维服务过程中的信息安全管理流程，提升网络信息的安全性。</w:t>
      </w:r>
    </w:p>
    <w:p>
      <w:pPr>
        <w:adjustRightInd w:val="0"/>
        <w:snapToGrid w:val="0"/>
        <w:spacing w:line="440" w:lineRule="exact"/>
        <w:ind w:left="850" w:hanging="849" w:hangingChars="354"/>
        <w:outlineLvl w:val="2"/>
        <w:rPr>
          <w:bCs/>
          <w:color w:val="000000"/>
          <w:sz w:val="24"/>
        </w:rPr>
      </w:pPr>
      <w:r>
        <w:rPr>
          <w:bCs/>
          <w:color w:val="000000"/>
          <w:sz w:val="24"/>
        </w:rPr>
        <w:t>3.5</w:t>
      </w:r>
      <w:r>
        <w:rPr>
          <w:bCs/>
          <w:color w:val="000000"/>
          <w:sz w:val="24"/>
        </w:rPr>
        <w:tab/>
      </w:r>
      <w:r>
        <w:rPr>
          <w:bCs/>
          <w:color w:val="000000"/>
          <w:sz w:val="24"/>
        </w:rPr>
        <w:t>应急响应服务</w:t>
      </w:r>
    </w:p>
    <w:p>
      <w:pPr>
        <w:adjustRightInd w:val="0"/>
        <w:snapToGrid w:val="0"/>
        <w:spacing w:line="440" w:lineRule="exact"/>
        <w:ind w:firstLine="480" w:firstLineChars="200"/>
        <w:rPr>
          <w:bCs/>
          <w:color w:val="000000"/>
          <w:sz w:val="24"/>
        </w:rPr>
      </w:pPr>
      <w:r>
        <w:rPr>
          <w:bCs/>
          <w:color w:val="000000"/>
          <w:sz w:val="24"/>
        </w:rPr>
        <w:t>根据在系统运行维护中遇到的技术问题划分不同的事故响应服务等级，以便出现设备故障、系统故障或紧急问题，能根据不同的故障级别启动不同的应急响应服务。投标人需提供7*24小时的应急响应服务，根据故障级别，制定响应的服务方案和解决时效。故障级别如下：</w:t>
      </w:r>
    </w:p>
    <w:p>
      <w:pPr>
        <w:numPr>
          <w:ilvl w:val="0"/>
          <w:numId w:val="1"/>
        </w:numPr>
        <w:adjustRightInd w:val="0"/>
        <w:snapToGrid w:val="0"/>
        <w:spacing w:line="440" w:lineRule="exact"/>
        <w:ind w:left="850" w:hanging="849" w:hangingChars="354"/>
        <w:jc w:val="left"/>
        <w:textAlignment w:val="baseline"/>
        <w:rPr>
          <w:color w:val="000000"/>
          <w:kern w:val="0"/>
          <w:sz w:val="24"/>
        </w:rPr>
      </w:pPr>
      <w:r>
        <w:rPr>
          <w:color w:val="000000"/>
          <w:kern w:val="0"/>
          <w:sz w:val="24"/>
        </w:rPr>
        <w:t>一级故障：</w:t>
      </w:r>
      <w:r>
        <w:rPr>
          <w:bCs/>
          <w:color w:val="000000"/>
          <w:sz w:val="24"/>
        </w:rPr>
        <w:t>属于普通问题；其具体现象为：系统技术功能、安装或配置咨询，或其他不影响业务的服务。</w:t>
      </w:r>
    </w:p>
    <w:p>
      <w:pPr>
        <w:numPr>
          <w:ilvl w:val="0"/>
          <w:numId w:val="1"/>
        </w:numPr>
        <w:adjustRightInd w:val="0"/>
        <w:snapToGrid w:val="0"/>
        <w:spacing w:line="440" w:lineRule="exact"/>
        <w:ind w:left="850" w:hanging="849" w:hangingChars="354"/>
        <w:jc w:val="left"/>
        <w:textAlignment w:val="baseline"/>
        <w:rPr>
          <w:color w:val="000000"/>
          <w:kern w:val="0"/>
          <w:sz w:val="24"/>
        </w:rPr>
      </w:pPr>
      <w:r>
        <w:rPr>
          <w:color w:val="000000"/>
          <w:kern w:val="0"/>
          <w:sz w:val="24"/>
        </w:rPr>
        <w:t>二级故障：</w:t>
      </w:r>
      <w:r>
        <w:rPr>
          <w:bCs/>
          <w:color w:val="000000"/>
          <w:sz w:val="24"/>
        </w:rPr>
        <w:t>属于较严重问题，其具体现象为：应用系统能继续运行且性能不受影响，但出现系统报错或部分部件故障，存在安全隐患。</w:t>
      </w:r>
    </w:p>
    <w:p>
      <w:pPr>
        <w:numPr>
          <w:ilvl w:val="0"/>
          <w:numId w:val="1"/>
        </w:numPr>
        <w:adjustRightInd w:val="0"/>
        <w:snapToGrid w:val="0"/>
        <w:spacing w:line="440" w:lineRule="exact"/>
        <w:ind w:left="850" w:hanging="849" w:hangingChars="354"/>
        <w:jc w:val="left"/>
        <w:textAlignment w:val="baseline"/>
        <w:rPr>
          <w:color w:val="000000"/>
          <w:kern w:val="0"/>
          <w:sz w:val="24"/>
        </w:rPr>
      </w:pPr>
      <w:r>
        <w:rPr>
          <w:color w:val="000000"/>
          <w:kern w:val="0"/>
          <w:sz w:val="24"/>
        </w:rPr>
        <w:t>三级故障：</w:t>
      </w:r>
      <w:r>
        <w:rPr>
          <w:bCs/>
          <w:color w:val="000000"/>
          <w:sz w:val="24"/>
        </w:rPr>
        <w:t>属于严重问题，其具体现象为：部分部件失效、网络性能下降但不影响正常业务运作。</w:t>
      </w:r>
    </w:p>
    <w:p>
      <w:pPr>
        <w:numPr>
          <w:ilvl w:val="0"/>
          <w:numId w:val="1"/>
        </w:numPr>
        <w:adjustRightInd w:val="0"/>
        <w:snapToGrid w:val="0"/>
        <w:spacing w:line="440" w:lineRule="exact"/>
        <w:ind w:left="850" w:hanging="849" w:hangingChars="354"/>
        <w:jc w:val="left"/>
        <w:textAlignment w:val="baseline"/>
        <w:rPr>
          <w:kern w:val="0"/>
          <w:sz w:val="24"/>
        </w:rPr>
      </w:pPr>
      <w:r>
        <w:rPr>
          <w:color w:val="000000"/>
          <w:kern w:val="0"/>
          <w:sz w:val="24"/>
        </w:rPr>
        <w:t>四级</w:t>
      </w:r>
      <w:r>
        <w:rPr>
          <w:kern w:val="0"/>
          <w:sz w:val="24"/>
        </w:rPr>
        <w:t>故障：</w:t>
      </w:r>
    </w:p>
    <w:p>
      <w:pPr>
        <w:adjustRightInd w:val="0"/>
        <w:snapToGrid w:val="0"/>
        <w:spacing w:line="440" w:lineRule="exact"/>
        <w:ind w:left="848" w:leftChars="404" w:firstLine="480"/>
        <w:rPr>
          <w:sz w:val="24"/>
        </w:rPr>
      </w:pPr>
      <w:r>
        <w:rPr>
          <w:sz w:val="24"/>
        </w:rPr>
        <w:t>属于紧急问题；其具体现象为：网络故障导致业务停止。</w:t>
      </w:r>
    </w:p>
    <w:p>
      <w:pPr>
        <w:adjustRightInd w:val="0"/>
        <w:snapToGrid w:val="0"/>
        <w:spacing w:line="440" w:lineRule="exact"/>
        <w:ind w:left="850" w:hanging="849" w:hangingChars="354"/>
        <w:outlineLvl w:val="2"/>
        <w:rPr>
          <w:sz w:val="24"/>
        </w:rPr>
      </w:pPr>
      <w:r>
        <w:rPr>
          <w:rFonts w:ascii="Segoe UI Symbol" w:hAnsi="Segoe UI Symbol" w:cs="Segoe UI Symbol"/>
          <w:sz w:val="24"/>
        </w:rPr>
        <w:t>★</w:t>
      </w:r>
      <w:r>
        <w:rPr>
          <w:sz w:val="24"/>
        </w:rPr>
        <w:t>3.6</w:t>
      </w:r>
      <w:r>
        <w:rPr>
          <w:sz w:val="24"/>
        </w:rPr>
        <w:tab/>
      </w:r>
      <w:r>
        <w:rPr>
          <w:sz w:val="24"/>
        </w:rPr>
        <w:t>重大节日应急响应服务</w:t>
      </w:r>
    </w:p>
    <w:p>
      <w:pPr>
        <w:adjustRightInd w:val="0"/>
        <w:snapToGrid w:val="0"/>
        <w:spacing w:line="440" w:lineRule="exact"/>
        <w:ind w:firstLine="480" w:firstLineChars="200"/>
        <w:rPr>
          <w:sz w:val="24"/>
        </w:rPr>
      </w:pPr>
      <w:r>
        <w:rPr>
          <w:sz w:val="24"/>
        </w:rPr>
        <w:t>国家法定节假日、重要会议、活动时期突发安全事件时，提供应急响应服务，及时解决安全事件。</w:t>
      </w:r>
    </w:p>
    <w:p>
      <w:pPr>
        <w:adjustRightInd w:val="0"/>
        <w:snapToGrid w:val="0"/>
        <w:spacing w:line="440" w:lineRule="exact"/>
        <w:ind w:left="850" w:hanging="849" w:hangingChars="354"/>
        <w:outlineLvl w:val="2"/>
        <w:rPr>
          <w:bCs/>
          <w:color w:val="000000"/>
          <w:sz w:val="24"/>
        </w:rPr>
      </w:pPr>
      <w:r>
        <w:rPr>
          <w:bCs/>
          <w:color w:val="000000"/>
          <w:sz w:val="24"/>
        </w:rPr>
        <w:t>3.</w:t>
      </w:r>
      <w:r>
        <w:rPr>
          <w:rFonts w:hint="eastAsia"/>
          <w:bCs/>
          <w:color w:val="000000"/>
          <w:sz w:val="24"/>
          <w:lang w:val="en-US" w:eastAsia="zh-CN"/>
        </w:rPr>
        <w:t>7</w:t>
      </w:r>
      <w:r>
        <w:rPr>
          <w:bCs/>
          <w:color w:val="000000"/>
          <w:sz w:val="24"/>
        </w:rPr>
        <w:tab/>
      </w:r>
      <w:r>
        <w:rPr>
          <w:bCs/>
          <w:color w:val="000000"/>
          <w:sz w:val="24"/>
        </w:rPr>
        <w:t>服务响应时效</w:t>
      </w:r>
    </w:p>
    <w:p>
      <w:pPr>
        <w:adjustRightInd w:val="0"/>
        <w:snapToGrid w:val="0"/>
        <w:spacing w:line="440" w:lineRule="exact"/>
        <w:ind w:left="850" w:hanging="849" w:hangingChars="354"/>
        <w:rPr>
          <w:bCs/>
          <w:color w:val="000000"/>
          <w:sz w:val="24"/>
        </w:rPr>
      </w:pPr>
      <w:r>
        <w:rPr>
          <w:bCs/>
          <w:color w:val="000000"/>
          <w:sz w:val="24"/>
        </w:rPr>
        <w:t>3.</w:t>
      </w:r>
      <w:r>
        <w:rPr>
          <w:rFonts w:hint="eastAsia"/>
          <w:bCs/>
          <w:color w:val="000000"/>
          <w:sz w:val="24"/>
          <w:lang w:val="en-US" w:eastAsia="zh-CN"/>
        </w:rPr>
        <w:t>7</w:t>
      </w:r>
      <w:r>
        <w:rPr>
          <w:bCs/>
          <w:color w:val="000000"/>
          <w:sz w:val="24"/>
        </w:rPr>
        <w:t>.1</w:t>
      </w:r>
      <w:r>
        <w:rPr>
          <w:bCs/>
          <w:color w:val="000000"/>
          <w:sz w:val="24"/>
        </w:rPr>
        <w:tab/>
      </w:r>
      <w:r>
        <w:rPr>
          <w:bCs/>
          <w:color w:val="000000"/>
          <w:sz w:val="24"/>
        </w:rPr>
        <w:t>提供7*24小时及时应急响应服务，故障事件响应时效不超过15分钟，安全事件响应时效不超过5分钟。</w:t>
      </w:r>
    </w:p>
    <w:p>
      <w:pPr>
        <w:adjustRightInd w:val="0"/>
        <w:snapToGrid w:val="0"/>
        <w:spacing w:line="440" w:lineRule="exact"/>
        <w:ind w:left="850" w:hanging="849" w:hangingChars="354"/>
        <w:rPr>
          <w:rFonts w:hint="default" w:ascii="宋体" w:hAnsi="宋体" w:eastAsia="宋体"/>
          <w:sz w:val="24"/>
          <w:lang w:val="en-US" w:eastAsia="zh-CN"/>
        </w:rPr>
      </w:pPr>
      <w:r>
        <w:rPr>
          <w:bCs/>
          <w:color w:val="000000"/>
          <w:sz w:val="24"/>
        </w:rPr>
        <w:t>3.</w:t>
      </w:r>
      <w:r>
        <w:rPr>
          <w:rFonts w:hint="eastAsia"/>
          <w:bCs/>
          <w:color w:val="000000"/>
          <w:sz w:val="24"/>
          <w:lang w:val="en-US" w:eastAsia="zh-CN"/>
        </w:rPr>
        <w:t>7</w:t>
      </w:r>
      <w:r>
        <w:rPr>
          <w:bCs/>
          <w:color w:val="000000"/>
          <w:sz w:val="24"/>
        </w:rPr>
        <w:t>.2</w:t>
      </w:r>
      <w:r>
        <w:rPr>
          <w:bCs/>
          <w:color w:val="000000"/>
          <w:sz w:val="24"/>
        </w:rPr>
        <w:tab/>
      </w:r>
      <w:r>
        <w:rPr>
          <w:bCs/>
          <w:color w:val="000000"/>
          <w:sz w:val="24"/>
        </w:rPr>
        <w:t>提供7*24小时技术咨询响应服务，指定技术工程师解答有关软件产品的相关问题，响应时效不超过15分钟。</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rPr>
      </w:pPr>
      <w:r>
        <w:rPr>
          <w:rFonts w:hint="eastAsia" w:ascii="宋体" w:hAnsi="宋体"/>
          <w:sz w:val="24"/>
          <w:lang w:val="en-US" w:eastAsia="zh-CN"/>
        </w:rPr>
        <w:t>（四）</w:t>
      </w:r>
      <w:r>
        <w:rPr>
          <w:rFonts w:hint="eastAsia" w:ascii="宋体" w:hAnsi="宋体" w:eastAsia="宋体"/>
          <w:sz w:val="24"/>
          <w:lang w:val="en-US" w:eastAsia="zh-CN"/>
        </w:rPr>
        <w:t>.</w:t>
      </w:r>
      <w:r>
        <w:rPr>
          <w:rFonts w:hint="eastAsia" w:ascii="宋体" w:hAnsi="宋体"/>
          <w:sz w:val="24"/>
          <w:lang w:val="en-US" w:eastAsia="zh-CN"/>
        </w:rPr>
        <w:t>运营维护期</w:t>
      </w:r>
      <w:r>
        <w:rPr>
          <w:rFonts w:hint="eastAsia" w:ascii="宋体" w:hAnsi="宋体" w:eastAsia="宋体"/>
          <w:sz w:val="24"/>
        </w:rPr>
        <w:t>：</w:t>
      </w:r>
      <w:r>
        <w:rPr>
          <w:rFonts w:hint="eastAsia" w:ascii="宋体" w:hAnsi="宋体"/>
          <w:sz w:val="24"/>
          <w:lang w:val="en-US" w:eastAsia="zh-CN"/>
        </w:rPr>
        <w:t>3年</w:t>
      </w:r>
      <w:r>
        <w:rPr>
          <w:rFonts w:hint="eastAsia" w:ascii="宋体" w:hAnsi="宋体" w:eastAsia="宋体"/>
          <w:sz w:val="24"/>
        </w:rPr>
        <w:t>。</w:t>
      </w:r>
    </w:p>
    <w:p>
      <w:pPr>
        <w:keepNext w:val="0"/>
        <w:keepLines w:val="0"/>
        <w:pageBreakBefore w:val="0"/>
        <w:wordWrap/>
        <w:overflowPunct/>
        <w:topLinePunct w:val="0"/>
        <w:bidi w:val="0"/>
        <w:spacing w:line="400" w:lineRule="exact"/>
        <w:ind w:firstLine="480" w:firstLineChars="200"/>
        <w:textAlignment w:val="auto"/>
        <w:rPr>
          <w:rFonts w:hint="eastAsia" w:ascii="宋体" w:hAnsi="宋体" w:eastAsia="宋体"/>
          <w:sz w:val="24"/>
          <w:highlight w:val="none"/>
        </w:rPr>
      </w:pPr>
      <w:r>
        <w:rPr>
          <w:rFonts w:hint="eastAsia" w:ascii="宋体" w:hAnsi="宋体"/>
          <w:sz w:val="24"/>
          <w:highlight w:val="none"/>
          <w:lang w:val="en-US" w:eastAsia="zh-CN"/>
        </w:rPr>
        <w:t>（五）</w:t>
      </w:r>
      <w:r>
        <w:rPr>
          <w:rFonts w:hint="eastAsia" w:ascii="宋体" w:hAnsi="宋体" w:eastAsia="宋体"/>
          <w:sz w:val="24"/>
          <w:highlight w:val="none"/>
        </w:rPr>
        <w:t>.资金来源：</w:t>
      </w:r>
      <w:r>
        <w:rPr>
          <w:rFonts w:hint="eastAsia" w:ascii="宋体" w:hAnsi="宋体"/>
          <w:sz w:val="24"/>
          <w:highlight w:val="none"/>
          <w:lang w:eastAsia="zh-CN"/>
        </w:rPr>
        <w:t>财政性资金</w:t>
      </w:r>
      <w:r>
        <w:rPr>
          <w:rFonts w:hint="eastAsia" w:ascii="宋体" w:hAnsi="宋体" w:eastAsia="宋体"/>
          <w:sz w:val="24"/>
          <w:highlight w:val="none"/>
        </w:rPr>
        <w:t>。</w:t>
      </w:r>
    </w:p>
    <w:p>
      <w:pPr>
        <w:pStyle w:val="9"/>
        <w:keepNext w:val="0"/>
        <w:keepLines w:val="0"/>
        <w:pageBreakBefore w:val="0"/>
        <w:wordWrap/>
        <w:overflowPunct/>
        <w:topLinePunct w:val="0"/>
        <w:bidi w:val="0"/>
        <w:spacing w:line="400" w:lineRule="exact"/>
        <w:ind w:firstLine="482"/>
        <w:textAlignment w:val="auto"/>
        <w:rPr>
          <w:rFonts w:ascii="宋体" w:hAnsi="宋体" w:eastAsia="宋体"/>
          <w:b/>
          <w:kern w:val="0"/>
          <w:sz w:val="24"/>
          <w:szCs w:val="24"/>
        </w:rPr>
      </w:pPr>
      <w:r>
        <w:rPr>
          <w:rFonts w:hint="eastAsia" w:ascii="宋体" w:hAnsi="宋体" w:eastAsia="宋体"/>
          <w:b/>
          <w:kern w:val="0"/>
          <w:sz w:val="24"/>
          <w:szCs w:val="24"/>
        </w:rPr>
        <w:t>二、资格要求</w:t>
      </w:r>
    </w:p>
    <w:p>
      <w:pPr>
        <w:keepNext w:val="0"/>
        <w:keepLines w:val="0"/>
        <w:pageBreakBefore w:val="0"/>
        <w:widowControl/>
        <w:wordWrap/>
        <w:overflowPunct/>
        <w:topLinePunct w:val="0"/>
        <w:bidi w:val="0"/>
        <w:spacing w:line="400" w:lineRule="exact"/>
        <w:ind w:firstLine="240" w:firstLineChars="100"/>
        <w:jc w:val="left"/>
        <w:textAlignment w:val="auto"/>
        <w:rPr>
          <w:rFonts w:hint="eastAsia" w:ascii="宋体" w:cs="宋体"/>
          <w:bCs/>
          <w:sz w:val="24"/>
        </w:rPr>
      </w:pPr>
      <w:r>
        <w:rPr>
          <w:rFonts w:hint="eastAsia" w:ascii="宋体" w:hAnsi="宋体" w:cs="宋体"/>
          <w:color w:val="000000"/>
          <w:sz w:val="24"/>
          <w:lang w:val="en-US" w:eastAsia="zh-CN"/>
        </w:rPr>
        <w:t xml:space="preserve">  </w:t>
      </w:r>
      <w:r>
        <w:rPr>
          <w:rFonts w:hint="eastAsia" w:ascii="宋体" w:hAnsi="宋体" w:eastAsia="宋体" w:cs="宋体"/>
          <w:color w:val="000000"/>
          <w:sz w:val="24"/>
        </w:rPr>
        <w:t>1.</w:t>
      </w:r>
      <w:r>
        <w:rPr>
          <w:rFonts w:hint="eastAsia" w:ascii="宋体" w:cs="宋体"/>
          <w:bCs/>
          <w:sz w:val="24"/>
        </w:rPr>
        <w:t xml:space="preserve"> 参选单位必须符合《中华人民共和国政府采购法》第二十二条之规定：</w:t>
      </w:r>
    </w:p>
    <w:p>
      <w:pPr>
        <w:keepNext w:val="0"/>
        <w:keepLines w:val="0"/>
        <w:pageBreakBefore w:val="0"/>
        <w:widowControl/>
        <w:wordWrap/>
        <w:overflowPunct/>
        <w:topLinePunct w:val="0"/>
        <w:bidi w:val="0"/>
        <w:spacing w:line="400" w:lineRule="exact"/>
        <w:ind w:firstLine="480" w:firstLineChars="200"/>
        <w:jc w:val="left"/>
        <w:textAlignment w:val="auto"/>
        <w:rPr>
          <w:rFonts w:hint="eastAsia" w:ascii="宋体" w:cs="宋体"/>
          <w:bCs/>
          <w:sz w:val="24"/>
        </w:rPr>
      </w:pPr>
      <w:r>
        <w:rPr>
          <w:rFonts w:hint="eastAsia" w:ascii="宋体" w:cs="宋体"/>
          <w:bCs/>
          <w:sz w:val="24"/>
        </w:rPr>
        <w:t>（1）具有独立承担民事责任的能力；</w:t>
      </w:r>
    </w:p>
    <w:p>
      <w:pPr>
        <w:keepNext w:val="0"/>
        <w:keepLines w:val="0"/>
        <w:pageBreakBefore w:val="0"/>
        <w:widowControl/>
        <w:wordWrap/>
        <w:overflowPunct/>
        <w:topLinePunct w:val="0"/>
        <w:bidi w:val="0"/>
        <w:spacing w:line="400" w:lineRule="exact"/>
        <w:ind w:firstLine="480" w:firstLineChars="200"/>
        <w:jc w:val="left"/>
        <w:textAlignment w:val="auto"/>
        <w:rPr>
          <w:rFonts w:hint="eastAsia" w:ascii="宋体" w:cs="宋体"/>
          <w:bCs/>
          <w:sz w:val="24"/>
        </w:rPr>
      </w:pPr>
      <w:r>
        <w:rPr>
          <w:rFonts w:hint="eastAsia" w:ascii="宋体" w:cs="宋体"/>
          <w:bCs/>
          <w:sz w:val="24"/>
        </w:rPr>
        <w:t>（2）具有良好的商业信誉和健全的财务会计制度；</w:t>
      </w:r>
    </w:p>
    <w:p>
      <w:pPr>
        <w:keepNext w:val="0"/>
        <w:keepLines w:val="0"/>
        <w:pageBreakBefore w:val="0"/>
        <w:widowControl/>
        <w:wordWrap/>
        <w:overflowPunct/>
        <w:topLinePunct w:val="0"/>
        <w:bidi w:val="0"/>
        <w:spacing w:line="400" w:lineRule="exact"/>
        <w:ind w:firstLine="480" w:firstLineChars="200"/>
        <w:jc w:val="left"/>
        <w:textAlignment w:val="auto"/>
        <w:rPr>
          <w:rFonts w:hint="eastAsia" w:ascii="宋体" w:cs="宋体"/>
          <w:bCs/>
          <w:sz w:val="24"/>
        </w:rPr>
      </w:pPr>
      <w:r>
        <w:rPr>
          <w:rFonts w:hint="eastAsia" w:ascii="宋体" w:cs="宋体"/>
          <w:bCs/>
          <w:sz w:val="24"/>
        </w:rPr>
        <w:t>（3）具有履行合同所必需的设备和专业技术能力；</w:t>
      </w:r>
    </w:p>
    <w:p>
      <w:pPr>
        <w:keepNext w:val="0"/>
        <w:keepLines w:val="0"/>
        <w:pageBreakBefore w:val="0"/>
        <w:widowControl/>
        <w:wordWrap/>
        <w:overflowPunct/>
        <w:topLinePunct w:val="0"/>
        <w:bidi w:val="0"/>
        <w:spacing w:line="400" w:lineRule="exact"/>
        <w:ind w:firstLine="480" w:firstLineChars="200"/>
        <w:jc w:val="left"/>
        <w:textAlignment w:val="auto"/>
        <w:rPr>
          <w:rFonts w:hint="eastAsia" w:ascii="宋体" w:cs="宋体"/>
          <w:bCs/>
          <w:sz w:val="24"/>
        </w:rPr>
      </w:pPr>
      <w:r>
        <w:rPr>
          <w:rFonts w:hint="eastAsia" w:ascii="宋体" w:cs="宋体"/>
          <w:bCs/>
          <w:sz w:val="24"/>
        </w:rPr>
        <w:t>（4）有依法缴纳税收和社会保障资金的良好记录；</w:t>
      </w:r>
    </w:p>
    <w:p>
      <w:pPr>
        <w:keepNext w:val="0"/>
        <w:keepLines w:val="0"/>
        <w:pageBreakBefore w:val="0"/>
        <w:widowControl/>
        <w:wordWrap/>
        <w:overflowPunct/>
        <w:topLinePunct w:val="0"/>
        <w:bidi w:val="0"/>
        <w:spacing w:line="400" w:lineRule="exact"/>
        <w:ind w:firstLine="480" w:firstLineChars="200"/>
        <w:jc w:val="left"/>
        <w:textAlignment w:val="auto"/>
        <w:rPr>
          <w:rFonts w:hint="eastAsia" w:ascii="宋体" w:cs="宋体"/>
          <w:bCs/>
          <w:sz w:val="24"/>
        </w:rPr>
      </w:pPr>
      <w:r>
        <w:rPr>
          <w:rFonts w:hint="eastAsia" w:ascii="宋体" w:cs="宋体"/>
          <w:bCs/>
          <w:sz w:val="24"/>
        </w:rPr>
        <w:t>（5）参加政府采购活动前三年内，在经营活动中没有重大违法记录；</w:t>
      </w:r>
    </w:p>
    <w:p>
      <w:pPr>
        <w:keepNext w:val="0"/>
        <w:keepLines w:val="0"/>
        <w:pageBreakBefore w:val="0"/>
        <w:widowControl/>
        <w:wordWrap/>
        <w:overflowPunct/>
        <w:topLinePunct w:val="0"/>
        <w:bidi w:val="0"/>
        <w:spacing w:line="400" w:lineRule="exact"/>
        <w:ind w:firstLine="480" w:firstLineChars="200"/>
        <w:jc w:val="left"/>
        <w:textAlignment w:val="auto"/>
        <w:rPr>
          <w:rFonts w:hint="eastAsia" w:ascii="宋体" w:cs="宋体"/>
          <w:bCs/>
          <w:sz w:val="24"/>
        </w:rPr>
      </w:pPr>
      <w:r>
        <w:rPr>
          <w:rFonts w:hint="eastAsia" w:ascii="宋体" w:cs="宋体"/>
          <w:bCs/>
          <w:sz w:val="24"/>
        </w:rPr>
        <w:t>（6）法律、行政法规规定的其他条件。</w:t>
      </w:r>
    </w:p>
    <w:p>
      <w:pPr>
        <w:keepNext w:val="0"/>
        <w:keepLines w:val="0"/>
        <w:pageBreakBefore w:val="0"/>
        <w:kinsoku w:val="0"/>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olor w:val="000000"/>
          <w:sz w:val="24"/>
        </w:rPr>
      </w:pPr>
      <w:r>
        <w:rPr>
          <w:rFonts w:hint="eastAsia" w:ascii="宋体" w:hAnsi="宋体" w:eastAsia="宋体" w:cs="宋体"/>
          <w:color w:val="000000"/>
          <w:sz w:val="24"/>
        </w:rPr>
        <w:t>2.</w:t>
      </w:r>
      <w:r>
        <w:rPr>
          <w:rFonts w:hint="eastAsia" w:ascii="宋体" w:hAnsi="宋体" w:eastAsia="宋体"/>
          <w:color w:val="000000"/>
          <w:sz w:val="24"/>
        </w:rPr>
        <w:t>业绩要求：</w:t>
      </w:r>
      <w:r>
        <w:rPr>
          <w:rFonts w:hint="eastAsia" w:ascii="宋体" w:hAnsi="宋体" w:eastAsia="宋体"/>
          <w:sz w:val="24"/>
        </w:rPr>
        <w:t>近</w:t>
      </w:r>
      <w:r>
        <w:rPr>
          <w:rFonts w:hint="eastAsia" w:ascii="宋体" w:hAnsi="宋体"/>
          <w:sz w:val="24"/>
          <w:lang w:val="en-US" w:eastAsia="zh-CN"/>
        </w:rPr>
        <w:t>3</w:t>
      </w:r>
      <w:r>
        <w:rPr>
          <w:rFonts w:hint="eastAsia" w:ascii="宋体" w:hAnsi="宋体" w:eastAsia="宋体"/>
          <w:sz w:val="24"/>
        </w:rPr>
        <w:t>年具有1项（含）以上类似项目业绩（近</w:t>
      </w:r>
      <w:r>
        <w:rPr>
          <w:rFonts w:hint="eastAsia" w:ascii="宋体" w:hAnsi="宋体"/>
          <w:sz w:val="24"/>
          <w:lang w:val="en-US" w:eastAsia="zh-CN"/>
        </w:rPr>
        <w:t>3</w:t>
      </w:r>
      <w:r>
        <w:rPr>
          <w:rFonts w:hint="eastAsia" w:ascii="宋体" w:hAnsi="宋体" w:eastAsia="宋体"/>
          <w:sz w:val="24"/>
        </w:rPr>
        <w:t>年是指：20</w:t>
      </w:r>
      <w:r>
        <w:rPr>
          <w:rFonts w:hint="eastAsia" w:ascii="宋体" w:hAnsi="宋体"/>
          <w:sz w:val="24"/>
          <w:lang w:val="en-US" w:eastAsia="zh-CN"/>
        </w:rPr>
        <w:t>21</w:t>
      </w:r>
      <w:r>
        <w:rPr>
          <w:rFonts w:hint="eastAsia" w:ascii="宋体" w:hAnsi="宋体" w:eastAsia="宋体"/>
          <w:sz w:val="24"/>
        </w:rPr>
        <w:t>年</w:t>
      </w:r>
      <w:r>
        <w:rPr>
          <w:rFonts w:hint="eastAsia" w:ascii="宋体" w:hAnsi="宋体"/>
          <w:sz w:val="24"/>
          <w:lang w:val="en-US" w:eastAsia="zh-CN"/>
        </w:rPr>
        <w:t>12</w:t>
      </w:r>
      <w:r>
        <w:rPr>
          <w:rFonts w:hint="eastAsia" w:ascii="宋体" w:hAnsi="宋体" w:eastAsia="宋体"/>
          <w:sz w:val="24"/>
        </w:rPr>
        <w:t>月至今）；</w:t>
      </w:r>
    </w:p>
    <w:p>
      <w:pPr>
        <w:keepNext w:val="0"/>
        <w:keepLines w:val="0"/>
        <w:pageBreakBefore w:val="0"/>
        <w:kinsoku w:val="0"/>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b/>
          <w:color w:val="000000"/>
          <w:sz w:val="24"/>
        </w:rPr>
      </w:pPr>
      <w:r>
        <w:rPr>
          <w:rFonts w:hint="eastAsia" w:ascii="宋体" w:hAnsi="宋体" w:cs="宋体"/>
          <w:color w:val="000000"/>
          <w:sz w:val="24"/>
          <w:lang w:val="en-US" w:eastAsia="zh-CN"/>
        </w:rPr>
        <w:t>3</w:t>
      </w:r>
      <w:r>
        <w:rPr>
          <w:rFonts w:hint="eastAsia" w:ascii="宋体" w:hAnsi="宋体" w:eastAsia="宋体" w:cs="宋体"/>
          <w:color w:val="000000"/>
          <w:sz w:val="24"/>
        </w:rPr>
        <w:t>.</w:t>
      </w:r>
      <w:r>
        <w:rPr>
          <w:rFonts w:ascii="宋体" w:hAnsi="宋体" w:eastAsia="宋体"/>
          <w:b/>
          <w:color w:val="000000"/>
          <w:sz w:val="24"/>
        </w:rPr>
        <w:t xml:space="preserve"> </w:t>
      </w:r>
      <w:r>
        <w:rPr>
          <w:rFonts w:hint="eastAsia" w:ascii="宋体" w:hAnsi="宋体" w:eastAsia="宋体" w:cs="宋体"/>
          <w:color w:val="000000"/>
          <w:sz w:val="24"/>
        </w:rPr>
        <w:t>信誉要求：申请人必须有良好的信誉，没有处于</w:t>
      </w:r>
      <w:r>
        <w:rPr>
          <w:rFonts w:hint="eastAsia" w:ascii="宋体" w:hAnsi="宋体" w:eastAsia="宋体"/>
          <w:color w:val="000000"/>
          <w:sz w:val="24"/>
        </w:rPr>
        <w:t>被限制</w:t>
      </w:r>
      <w:r>
        <w:rPr>
          <w:rFonts w:ascii="宋体" w:hAnsi="宋体" w:eastAsia="宋体"/>
          <w:color w:val="000000"/>
          <w:sz w:val="24"/>
        </w:rPr>
        <w:t>申请</w:t>
      </w:r>
      <w:r>
        <w:rPr>
          <w:rFonts w:hint="eastAsia" w:ascii="宋体" w:hAnsi="宋体" w:eastAsia="宋体"/>
          <w:color w:val="000000"/>
          <w:sz w:val="24"/>
        </w:rPr>
        <w:t>的情形和相关行政处罚期内的情形</w:t>
      </w:r>
      <w:r>
        <w:rPr>
          <w:rFonts w:hint="eastAsia" w:ascii="宋体" w:hAnsi="宋体" w:eastAsia="宋体" w:cs="宋体"/>
          <w:color w:val="000000"/>
          <w:sz w:val="24"/>
        </w:rPr>
        <w:t>；</w:t>
      </w:r>
      <w:r>
        <w:rPr>
          <w:rFonts w:ascii="宋体" w:hAnsi="宋体" w:eastAsia="宋体"/>
          <w:color w:val="000000"/>
          <w:sz w:val="24"/>
        </w:rPr>
        <w:t>在最近三年内没有骗取中标和严重违约引起的合同中止、纠纷、争议、仲裁和诉讼记录</w:t>
      </w:r>
      <w:r>
        <w:rPr>
          <w:rFonts w:hint="eastAsia" w:ascii="宋体" w:hAnsi="宋体" w:eastAsia="宋体"/>
          <w:color w:val="000000"/>
          <w:sz w:val="24"/>
        </w:rPr>
        <w:t>；</w:t>
      </w:r>
    </w:p>
    <w:p>
      <w:pPr>
        <w:keepNext w:val="0"/>
        <w:keepLines w:val="0"/>
        <w:pageBreakBefore w:val="0"/>
        <w:kinsoku w:val="0"/>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宋体"/>
          <w:color w:val="000000"/>
          <w:sz w:val="24"/>
        </w:rPr>
      </w:pPr>
      <w:r>
        <w:rPr>
          <w:rFonts w:hint="eastAsia" w:ascii="宋体" w:hAnsi="宋体" w:cs="宋体"/>
          <w:color w:val="000000"/>
          <w:sz w:val="24"/>
          <w:lang w:val="en-US" w:eastAsia="zh-CN"/>
        </w:rPr>
        <w:t>4</w:t>
      </w:r>
      <w:r>
        <w:rPr>
          <w:rFonts w:hint="eastAsia" w:ascii="宋体" w:hAnsi="宋体" w:eastAsia="宋体" w:cs="宋体"/>
          <w:color w:val="000000"/>
          <w:sz w:val="24"/>
        </w:rPr>
        <w:t>.</w:t>
      </w:r>
      <w:r>
        <w:rPr>
          <w:rFonts w:ascii="宋体" w:hAnsi="宋体" w:eastAsia="宋体" w:cs="宋体"/>
          <w:color w:val="000000"/>
          <w:sz w:val="24"/>
        </w:rPr>
        <w:t xml:space="preserve"> </w:t>
      </w:r>
      <w:r>
        <w:rPr>
          <w:rFonts w:hint="eastAsia" w:ascii="宋体" w:hAnsi="宋体" w:eastAsia="宋体" w:cs="宋体"/>
          <w:color w:val="000000"/>
          <w:sz w:val="24"/>
        </w:rPr>
        <w:t>信用中国：</w:t>
      </w:r>
      <w:r>
        <w:rPr>
          <w:rFonts w:hint="eastAsia" w:ascii="宋体" w:hAnsi="宋体" w:eastAsia="宋体"/>
          <w:color w:val="000000"/>
          <w:sz w:val="24"/>
        </w:rPr>
        <w:t>申请人在“信用中国”网站（www.creditchina.gov.cn）无“失信惩戒”信息；</w:t>
      </w:r>
    </w:p>
    <w:p>
      <w:pPr>
        <w:keepNext w:val="0"/>
        <w:keepLines w:val="0"/>
        <w:pageBreakBefore w:val="0"/>
        <w:kinsoku w:val="0"/>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olor w:val="000000"/>
          <w:sz w:val="24"/>
        </w:rPr>
      </w:pPr>
      <w:r>
        <w:rPr>
          <w:rFonts w:hint="eastAsia" w:ascii="宋体" w:hAnsi="宋体" w:cs="宋体"/>
          <w:color w:val="000000"/>
          <w:sz w:val="24"/>
          <w:lang w:val="en-US" w:eastAsia="zh-CN"/>
        </w:rPr>
        <w:t>5</w:t>
      </w:r>
      <w:r>
        <w:rPr>
          <w:rFonts w:hint="eastAsia" w:ascii="宋体" w:hAnsi="宋体" w:eastAsia="宋体" w:cs="宋体"/>
          <w:color w:val="000000"/>
          <w:sz w:val="24"/>
        </w:rPr>
        <w:t>.</w:t>
      </w:r>
      <w:r>
        <w:rPr>
          <w:rFonts w:hint="eastAsia" w:ascii="宋体" w:hAnsi="宋体" w:eastAsia="宋体"/>
          <w:color w:val="000000"/>
          <w:sz w:val="24"/>
        </w:rPr>
        <w:t xml:space="preserve"> 本次</w:t>
      </w:r>
      <w:r>
        <w:rPr>
          <w:rFonts w:ascii="宋体" w:hAnsi="宋体" w:eastAsia="宋体"/>
          <w:color w:val="000000"/>
          <w:sz w:val="24"/>
        </w:rPr>
        <w:t>比选</w:t>
      </w:r>
      <w:r>
        <w:rPr>
          <w:rFonts w:hint="eastAsia" w:ascii="宋体" w:hAnsi="宋体" w:eastAsia="宋体"/>
          <w:color w:val="000000"/>
          <w:sz w:val="24"/>
        </w:rPr>
        <w:t>不接受联合体</w:t>
      </w:r>
      <w:r>
        <w:rPr>
          <w:rFonts w:ascii="宋体" w:hAnsi="宋体" w:eastAsia="宋体"/>
          <w:color w:val="000000"/>
          <w:sz w:val="24"/>
        </w:rPr>
        <w:t>申请</w:t>
      </w:r>
      <w:r>
        <w:rPr>
          <w:rFonts w:hint="eastAsia" w:ascii="宋体" w:hAnsi="宋体" w:eastAsia="宋体"/>
          <w:color w:val="000000"/>
          <w:sz w:val="24"/>
        </w:rPr>
        <w:t>。</w:t>
      </w:r>
    </w:p>
    <w:p>
      <w:pPr>
        <w:pStyle w:val="9"/>
        <w:spacing w:line="460" w:lineRule="exact"/>
        <w:ind w:firstLine="482"/>
        <w:rPr>
          <w:rFonts w:hint="eastAsia" w:hAnsi="宋体"/>
          <w:b/>
          <w:kern w:val="0"/>
          <w:sz w:val="24"/>
          <w:szCs w:val="24"/>
          <w:lang w:eastAsia="zh-CN"/>
        </w:rPr>
      </w:pPr>
      <w:r>
        <w:rPr>
          <w:rFonts w:hint="eastAsia" w:hAnsi="宋体"/>
          <w:b/>
          <w:kern w:val="0"/>
          <w:sz w:val="24"/>
          <w:szCs w:val="24"/>
          <w:lang w:eastAsia="zh-CN"/>
        </w:rPr>
        <w:t>三</w:t>
      </w:r>
      <w:r>
        <w:rPr>
          <w:rFonts w:hint="eastAsia" w:ascii="宋体" w:hAnsi="宋体" w:eastAsia="宋体"/>
          <w:b/>
          <w:kern w:val="0"/>
          <w:sz w:val="24"/>
          <w:szCs w:val="24"/>
        </w:rPr>
        <w:t>、</w:t>
      </w:r>
      <w:r>
        <w:rPr>
          <w:rFonts w:hint="eastAsia" w:hAnsi="宋体"/>
          <w:b/>
          <w:kern w:val="0"/>
          <w:sz w:val="24"/>
          <w:szCs w:val="24"/>
          <w:lang w:eastAsia="zh-CN"/>
        </w:rPr>
        <w:t>参选方式</w:t>
      </w:r>
    </w:p>
    <w:p>
      <w:pPr>
        <w:pStyle w:val="9"/>
        <w:spacing w:line="460" w:lineRule="exact"/>
        <w:ind w:firstLine="48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采取线上报名，线上递交</w:t>
      </w:r>
      <w:r>
        <w:rPr>
          <w:rFonts w:hint="eastAsia" w:hAnsi="宋体" w:cs="宋体"/>
          <w:color w:val="auto"/>
          <w:kern w:val="2"/>
          <w:sz w:val="24"/>
          <w:szCs w:val="24"/>
          <w:highlight w:val="none"/>
          <w:lang w:val="en-US" w:eastAsia="zh-CN" w:bidi="ar-SA"/>
        </w:rPr>
        <w:t>比选材料</w:t>
      </w:r>
      <w:r>
        <w:rPr>
          <w:rFonts w:hint="eastAsia" w:ascii="宋体" w:hAnsi="宋体" w:eastAsia="宋体" w:cs="宋体"/>
          <w:color w:val="auto"/>
          <w:kern w:val="2"/>
          <w:sz w:val="24"/>
          <w:szCs w:val="24"/>
          <w:highlight w:val="none"/>
          <w:lang w:val="en-US" w:eastAsia="zh-CN" w:bidi="ar-SA"/>
        </w:rPr>
        <w:t>的方式。于202</w:t>
      </w:r>
      <w:r>
        <w:rPr>
          <w:rFonts w:hint="eastAsia"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w:t>
      </w:r>
      <w:r>
        <w:rPr>
          <w:rFonts w:hint="eastAsia"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月</w:t>
      </w:r>
      <w:r>
        <w:rPr>
          <w:rFonts w:hint="eastAsia"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日</w:t>
      </w:r>
      <w:r>
        <w:rPr>
          <w:rFonts w:hint="eastAsia"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：00前（北京时间）递交响应文件。</w:t>
      </w:r>
    </w:p>
    <w:p>
      <w:pPr>
        <w:kinsoku w:val="0"/>
        <w:autoSpaceDE w:val="0"/>
        <w:autoSpaceDN w:val="0"/>
        <w:adjustRightInd w:val="0"/>
        <w:snapToGrid w:val="0"/>
        <w:spacing w:line="460" w:lineRule="exact"/>
        <w:ind w:firstLine="480" w:firstLineChars="200"/>
        <w:rPr>
          <w:rFonts w:ascii="宋体" w:hAnsi="宋体" w:eastAsia="宋体"/>
          <w:color w:val="auto"/>
          <w:sz w:val="24"/>
          <w:highlight w:val="none"/>
        </w:rPr>
      </w:pPr>
      <w:bookmarkStart w:id="2" w:name="_Hlk535916782"/>
      <w:bookmarkStart w:id="3" w:name="_Hlk536538563"/>
      <w:r>
        <w:rPr>
          <w:rFonts w:hint="eastAsia" w:ascii="宋体" w:hAnsi="宋体" w:eastAsia="宋体"/>
          <w:color w:val="auto"/>
          <w:sz w:val="24"/>
          <w:highlight w:val="none"/>
        </w:rPr>
        <w:t>比选人：北京市顺义区水务局</w:t>
      </w:r>
    </w:p>
    <w:p>
      <w:pPr>
        <w:kinsoku w:val="0"/>
        <w:autoSpaceDE w:val="0"/>
        <w:autoSpaceDN w:val="0"/>
        <w:adjustRightInd w:val="0"/>
        <w:snapToGrid w:val="0"/>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联系人：张金洋</w:t>
      </w:r>
    </w:p>
    <w:p>
      <w:pPr>
        <w:kinsoku w:val="0"/>
        <w:autoSpaceDE w:val="0"/>
        <w:autoSpaceDN w:val="0"/>
        <w:adjustRightInd w:val="0"/>
        <w:snapToGrid w:val="0"/>
        <w:spacing w:line="460" w:lineRule="exact"/>
        <w:ind w:firstLine="480" w:firstLineChars="200"/>
        <w:rPr>
          <w:rFonts w:hint="default" w:ascii="宋体" w:hAnsi="宋体"/>
          <w:color w:val="auto"/>
          <w:sz w:val="24"/>
          <w:highlight w:val="none"/>
          <w:lang w:val="en-US" w:eastAsia="zh-CN"/>
        </w:rPr>
      </w:pPr>
      <w:r>
        <w:rPr>
          <w:rFonts w:hint="eastAsia" w:ascii="宋体" w:hAnsi="宋体" w:eastAsia="宋体"/>
          <w:color w:val="auto"/>
          <w:sz w:val="24"/>
          <w:highlight w:val="none"/>
        </w:rPr>
        <w:t>联系电话：</w:t>
      </w:r>
      <w:r>
        <w:rPr>
          <w:rFonts w:hint="eastAsia" w:ascii="宋体" w:hAnsi="宋体"/>
          <w:color w:val="auto"/>
          <w:sz w:val="24"/>
          <w:highlight w:val="none"/>
          <w:lang w:val="en-US" w:eastAsia="zh-CN"/>
        </w:rPr>
        <w:t>89457874</w:t>
      </w:r>
      <w:bookmarkStart w:id="14" w:name="_GoBack"/>
      <w:bookmarkEnd w:id="14"/>
    </w:p>
    <w:p>
      <w:pPr>
        <w:rPr>
          <w:rFonts w:hint="eastAsia" w:ascii="宋体" w:hAnsi="宋体"/>
          <w:color w:val="FF0000"/>
          <w:sz w:val="24"/>
          <w:highlight w:val="yellow"/>
          <w:lang w:val="en-US" w:eastAsia="zh-CN"/>
        </w:rPr>
      </w:pPr>
      <w:r>
        <w:rPr>
          <w:rFonts w:hint="eastAsia" w:ascii="宋体" w:hAnsi="宋体"/>
          <w:color w:val="FF0000"/>
          <w:sz w:val="24"/>
          <w:highlight w:val="yellow"/>
          <w:lang w:val="en-US" w:eastAsia="zh-CN"/>
        </w:rPr>
        <w:br w:type="page"/>
      </w:r>
    </w:p>
    <w:p>
      <w:pPr>
        <w:pStyle w:val="2"/>
        <w:rPr>
          <w:lang w:val="en-US"/>
        </w:rPr>
      </w:pPr>
    </w:p>
    <w:bookmarkEnd w:id="2"/>
    <w:bookmarkEnd w:id="3"/>
    <w:p>
      <w:pPr>
        <w:pStyle w:val="3"/>
        <w:numPr>
          <w:ilvl w:val="0"/>
          <w:numId w:val="2"/>
        </w:numPr>
        <w:bidi w:val="0"/>
        <w:rPr>
          <w:rFonts w:hint="eastAsia"/>
          <w:lang w:val="en-US" w:eastAsia="zh-CN"/>
        </w:rPr>
      </w:pPr>
      <w:r>
        <w:rPr>
          <w:rFonts w:hint="eastAsia"/>
          <w:lang w:val="en-US" w:eastAsia="zh-CN"/>
        </w:rPr>
        <w:t>合同模版</w:t>
      </w:r>
    </w:p>
    <w:p>
      <w:pPr>
        <w:pStyle w:val="2"/>
        <w:rPr>
          <w:rFonts w:ascii="宋体" w:hAnsi="宋体" w:cs="宋体"/>
          <w:bCs/>
          <w:sz w:val="24"/>
          <w:highlight w:val="none"/>
        </w:rPr>
      </w:pPr>
    </w:p>
    <w:p/>
    <w:p>
      <w:pPr>
        <w:rPr>
          <w:rFonts w:ascii="宋体" w:hAnsi="宋体" w:cs="宋体"/>
          <w:bCs/>
          <w:sz w:val="24"/>
          <w:highlight w:val="none"/>
        </w:rPr>
      </w:pPr>
    </w:p>
    <w:p>
      <w:pPr>
        <w:rPr>
          <w:rFonts w:ascii="仿宋_GB2312" w:eastAsia="仿宋_GB2312"/>
          <w:b/>
          <w:sz w:val="30"/>
          <w:szCs w:val="30"/>
        </w:rPr>
      </w:pPr>
      <w:r>
        <w:rPr>
          <w:rFonts w:hint="eastAsia" w:ascii="仿宋_GB2312" w:eastAsia="仿宋_GB2312"/>
          <w:b/>
          <w:sz w:val="30"/>
          <w:szCs w:val="30"/>
        </w:rPr>
        <w:t>合同登记编号：</w:t>
      </w:r>
    </w:p>
    <w:tbl>
      <w:tblPr>
        <w:tblStyle w:val="12"/>
        <w:tblW w:w="7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44"/>
        <w:gridCol w:w="544"/>
        <w:gridCol w:w="544"/>
        <w:gridCol w:w="544"/>
        <w:gridCol w:w="544"/>
        <w:gridCol w:w="544"/>
        <w:gridCol w:w="544"/>
        <w:gridCol w:w="544"/>
        <w:gridCol w:w="544"/>
        <w:gridCol w:w="544"/>
        <w:gridCol w:w="544"/>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4" w:type="dxa"/>
            <w:tcBorders>
              <w:bottom w:val="single" w:color="auto" w:sz="4" w:space="0"/>
            </w:tcBorders>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c>
          <w:tcPr>
            <w:tcW w:w="544" w:type="dxa"/>
            <w:tcBorders>
              <w:bottom w:val="single" w:color="auto" w:sz="4" w:space="0"/>
            </w:tcBorders>
            <w:noWrap w:val="0"/>
            <w:vAlign w:val="top"/>
          </w:tcPr>
          <w:p>
            <w:pPr>
              <w:rPr>
                <w:rFonts w:ascii="仿宋_GB2312" w:eastAsia="仿宋_GB2312"/>
                <w:b/>
                <w:sz w:val="28"/>
              </w:rPr>
            </w:pPr>
          </w:p>
        </w:tc>
      </w:tr>
    </w:tbl>
    <w:p>
      <w:pPr>
        <w:rPr>
          <w:rFonts w:ascii="宋体" w:hAnsi="宋体"/>
          <w:b/>
          <w:sz w:val="28"/>
        </w:rPr>
      </w:pPr>
    </w:p>
    <w:p>
      <w:pPr>
        <w:jc w:val="center"/>
        <w:outlineLvl w:val="0"/>
        <w:rPr>
          <w:rFonts w:ascii="宋体" w:hAnsi="宋体"/>
          <w:b/>
          <w:bCs/>
          <w:sz w:val="44"/>
        </w:rPr>
      </w:pPr>
      <w:r>
        <w:rPr>
          <w:rFonts w:hint="eastAsia" w:ascii="宋体" w:hAnsi="宋体"/>
          <w:b/>
          <w:bCs/>
          <w:sz w:val="44"/>
        </w:rPr>
        <w:t>技</w:t>
      </w:r>
      <w:r>
        <w:rPr>
          <w:rFonts w:hint="eastAsia" w:ascii="宋体" w:hAnsi="宋体"/>
          <w:b/>
          <w:bCs/>
          <w:sz w:val="44"/>
          <w:lang w:val="en-US" w:eastAsia="zh-CN"/>
        </w:rPr>
        <w:t xml:space="preserve"> </w:t>
      </w:r>
      <w:r>
        <w:rPr>
          <w:rFonts w:hint="eastAsia" w:ascii="宋体" w:hAnsi="宋体"/>
          <w:b/>
          <w:bCs/>
          <w:sz w:val="44"/>
        </w:rPr>
        <w:t>术</w:t>
      </w:r>
      <w:r>
        <w:rPr>
          <w:rFonts w:hint="eastAsia" w:ascii="宋体" w:hAnsi="宋体"/>
          <w:b/>
          <w:bCs/>
          <w:sz w:val="44"/>
          <w:lang w:val="en-US" w:eastAsia="zh-CN"/>
        </w:rPr>
        <w:t xml:space="preserve"> </w:t>
      </w:r>
      <w:r>
        <w:rPr>
          <w:rFonts w:hint="eastAsia" w:ascii="宋体" w:hAnsi="宋体"/>
          <w:b/>
          <w:bCs/>
          <w:sz w:val="44"/>
        </w:rPr>
        <w:t>服</w:t>
      </w:r>
      <w:r>
        <w:rPr>
          <w:rFonts w:hint="eastAsia" w:ascii="宋体" w:hAnsi="宋体"/>
          <w:b/>
          <w:bCs/>
          <w:sz w:val="44"/>
          <w:lang w:val="en-US" w:eastAsia="zh-CN"/>
        </w:rPr>
        <w:t xml:space="preserve"> </w:t>
      </w:r>
      <w:r>
        <w:rPr>
          <w:rFonts w:hint="eastAsia" w:ascii="宋体" w:hAnsi="宋体"/>
          <w:b/>
          <w:bCs/>
          <w:sz w:val="44"/>
        </w:rPr>
        <w:t>务</w:t>
      </w:r>
      <w:r>
        <w:rPr>
          <w:rFonts w:hint="eastAsia" w:ascii="宋体" w:hAnsi="宋体"/>
          <w:b/>
          <w:bCs/>
          <w:sz w:val="44"/>
          <w:lang w:val="en-US" w:eastAsia="zh-CN"/>
        </w:rPr>
        <w:t xml:space="preserve"> </w:t>
      </w:r>
      <w:r>
        <w:rPr>
          <w:rFonts w:hint="eastAsia" w:ascii="宋体" w:hAnsi="宋体"/>
          <w:b/>
          <w:bCs/>
          <w:sz w:val="44"/>
        </w:rPr>
        <w:t>合</w:t>
      </w:r>
      <w:r>
        <w:rPr>
          <w:rFonts w:hint="eastAsia" w:ascii="宋体" w:hAnsi="宋体"/>
          <w:b/>
          <w:bCs/>
          <w:sz w:val="44"/>
          <w:lang w:val="en-US" w:eastAsia="zh-CN"/>
        </w:rPr>
        <w:t xml:space="preserve"> </w:t>
      </w:r>
      <w:r>
        <w:rPr>
          <w:rFonts w:hint="eastAsia" w:ascii="宋体" w:hAnsi="宋体"/>
          <w:b/>
          <w:bCs/>
          <w:sz w:val="44"/>
        </w:rPr>
        <w:t>同</w:t>
      </w:r>
      <w:r>
        <w:rPr>
          <w:rFonts w:hint="eastAsia" w:ascii="宋体" w:hAnsi="宋体"/>
          <w:b/>
          <w:bCs/>
          <w:sz w:val="44"/>
          <w:lang w:val="en-US" w:eastAsia="zh-CN"/>
        </w:rPr>
        <w:t xml:space="preserve"> </w:t>
      </w:r>
      <w:r>
        <w:rPr>
          <w:rFonts w:hint="eastAsia" w:ascii="宋体" w:hAnsi="宋体"/>
          <w:b/>
          <w:bCs/>
          <w:sz w:val="44"/>
        </w:rPr>
        <w:t>书</w:t>
      </w:r>
    </w:p>
    <w:p>
      <w:pPr>
        <w:rPr>
          <w:rFonts w:ascii="宋体" w:hAnsi="宋体"/>
          <w:b/>
          <w:sz w:val="28"/>
        </w:rPr>
      </w:pPr>
    </w:p>
    <w:p>
      <w:pPr>
        <w:rPr>
          <w:rFonts w:ascii="宋体" w:hAnsi="宋体"/>
          <w:b/>
          <w:sz w:val="28"/>
        </w:rPr>
      </w:pPr>
    </w:p>
    <w:p>
      <w:pPr>
        <w:ind w:left="1606" w:hanging="1606" w:hangingChars="500"/>
        <w:outlineLvl w:val="0"/>
        <w:rPr>
          <w:rFonts w:ascii="宋体" w:hAnsi="宋体"/>
          <w:b/>
          <w:sz w:val="32"/>
          <w:szCs w:val="32"/>
        </w:rPr>
      </w:pPr>
      <w:r>
        <w:rPr>
          <w:rFonts w:hint="eastAsia" w:ascii="宋体" w:hAnsi="宋体"/>
          <w:b/>
          <w:sz w:val="32"/>
          <w:szCs w:val="32"/>
        </w:rPr>
        <w:t>项目名称：</w:t>
      </w:r>
      <w:r>
        <w:rPr>
          <w:rFonts w:hint="eastAsia" w:ascii="宋体" w:hAnsi="宋体"/>
          <w:b/>
          <w:sz w:val="32"/>
          <w:szCs w:val="32"/>
          <w:highlight w:val="none"/>
          <w:u w:val="single"/>
        </w:rPr>
        <w:t>顺义区农村污水处理与再生水利用设施运行监测系统系统运行维护项目</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p>
    <w:p>
      <w:pPr>
        <w:outlineLvl w:val="0"/>
        <w:rPr>
          <w:rFonts w:ascii="宋体" w:hAnsi="宋体"/>
          <w:b/>
          <w:sz w:val="32"/>
          <w:szCs w:val="32"/>
        </w:rPr>
      </w:pPr>
    </w:p>
    <w:p>
      <w:pPr>
        <w:outlineLvl w:val="0"/>
        <w:rPr>
          <w:rFonts w:ascii="宋体" w:hAnsi="宋体"/>
          <w:b/>
          <w:sz w:val="32"/>
          <w:szCs w:val="32"/>
          <w:u w:val="single"/>
        </w:rPr>
      </w:pPr>
      <w:r>
        <w:rPr>
          <w:rFonts w:hint="eastAsia" w:ascii="宋体" w:hAnsi="宋体"/>
          <w:b/>
          <w:sz w:val="32"/>
          <w:szCs w:val="32"/>
        </w:rPr>
        <w:t>委 托 人：</w:t>
      </w:r>
      <w:r>
        <w:rPr>
          <w:rFonts w:hint="eastAsia" w:ascii="宋体" w:hAnsi="宋体"/>
          <w:b/>
          <w:sz w:val="32"/>
          <w:szCs w:val="32"/>
          <w:u w:val="single"/>
        </w:rPr>
        <w:t xml:space="preserve">        北京市顺义区</w:t>
      </w:r>
      <w:r>
        <w:rPr>
          <w:rFonts w:hint="eastAsia" w:ascii="宋体" w:hAnsi="宋体"/>
          <w:b/>
          <w:sz w:val="32"/>
          <w:szCs w:val="32"/>
          <w:u w:val="single"/>
          <w:lang w:eastAsia="zh-CN"/>
        </w:rPr>
        <w:t>水务局</w:t>
      </w:r>
      <w:r>
        <w:rPr>
          <w:rFonts w:hint="eastAsia" w:ascii="宋体" w:hAnsi="宋体"/>
          <w:b/>
          <w:sz w:val="32"/>
          <w:szCs w:val="32"/>
          <w:u w:val="single"/>
        </w:rPr>
        <w:t xml:space="preserve">                             </w:t>
      </w:r>
    </w:p>
    <w:p>
      <w:pPr>
        <w:outlineLvl w:val="0"/>
        <w:rPr>
          <w:rFonts w:ascii="宋体" w:hAnsi="宋体"/>
          <w:b/>
          <w:sz w:val="32"/>
          <w:szCs w:val="32"/>
        </w:rPr>
      </w:pPr>
      <w:r>
        <w:rPr>
          <w:rFonts w:hint="eastAsia" w:ascii="宋体" w:hAnsi="宋体"/>
          <w:b/>
          <w:sz w:val="32"/>
          <w:szCs w:val="32"/>
        </w:rPr>
        <w:t>（甲方）</w:t>
      </w:r>
    </w:p>
    <w:p>
      <w:pPr>
        <w:outlineLvl w:val="0"/>
        <w:rPr>
          <w:rFonts w:ascii="宋体" w:hAnsi="宋体"/>
          <w:b/>
          <w:sz w:val="32"/>
          <w:szCs w:val="32"/>
          <w:u w:val="single"/>
        </w:rPr>
      </w:pPr>
      <w:r>
        <w:rPr>
          <w:rFonts w:hint="eastAsia" w:ascii="宋体" w:hAnsi="宋体"/>
          <w:b/>
          <w:sz w:val="32"/>
          <w:szCs w:val="32"/>
        </w:rPr>
        <w:t>受 托 人：</w:t>
      </w:r>
      <w:r>
        <w:rPr>
          <w:rFonts w:hint="eastAsia" w:ascii="宋体" w:hAnsi="宋体"/>
          <w:b/>
          <w:sz w:val="32"/>
          <w:szCs w:val="32"/>
          <w:u w:val="single"/>
        </w:rPr>
        <w:t xml:space="preserve">                                            </w:t>
      </w:r>
    </w:p>
    <w:p>
      <w:pPr>
        <w:outlineLvl w:val="0"/>
        <w:rPr>
          <w:rFonts w:hint="eastAsia" w:ascii="宋体" w:hAnsi="宋体"/>
          <w:sz w:val="28"/>
        </w:rPr>
      </w:pPr>
      <w:r>
        <w:rPr>
          <w:rFonts w:hint="eastAsia" w:ascii="宋体" w:hAnsi="宋体"/>
          <w:b/>
          <w:sz w:val="32"/>
          <w:szCs w:val="32"/>
        </w:rPr>
        <w:t>（乙方）</w:t>
      </w:r>
    </w:p>
    <w:p>
      <w:pPr>
        <w:outlineLvl w:val="0"/>
        <w:rPr>
          <w:rFonts w:ascii="宋体" w:hAnsi="宋体"/>
          <w:sz w:val="28"/>
        </w:rPr>
      </w:pPr>
      <w:r>
        <w:rPr>
          <w:rFonts w:hint="eastAsia" w:ascii="宋体" w:hAnsi="宋体"/>
          <w:sz w:val="28"/>
        </w:rPr>
        <w:t xml:space="preserve">签订地点： </w:t>
      </w:r>
      <w:r>
        <w:rPr>
          <w:rFonts w:hint="eastAsia" w:ascii="宋体" w:hAnsi="宋体"/>
          <w:color w:val="000000"/>
          <w:sz w:val="28"/>
        </w:rPr>
        <w:t>北 京 市 顺 义 区</w:t>
      </w:r>
    </w:p>
    <w:p>
      <w:pPr>
        <w:outlineLvl w:val="0"/>
        <w:rPr>
          <w:rFonts w:hint="eastAsia" w:ascii="宋体" w:hAnsi="宋体"/>
          <w:color w:val="000000"/>
          <w:sz w:val="28"/>
        </w:rPr>
      </w:pPr>
      <w:r>
        <w:rPr>
          <w:rFonts w:hint="eastAsia" w:ascii="宋体" w:hAnsi="宋体"/>
          <w:sz w:val="28"/>
        </w:rPr>
        <w:t xml:space="preserve">签订日期： </w:t>
      </w:r>
      <w:r>
        <w:rPr>
          <w:rFonts w:hint="eastAsia" w:ascii="宋体" w:hAnsi="宋体"/>
          <w:color w:val="000000"/>
          <w:sz w:val="28"/>
        </w:rPr>
        <w:t>202</w:t>
      </w:r>
      <w:r>
        <w:rPr>
          <w:rFonts w:hint="eastAsia" w:ascii="宋体" w:hAnsi="宋体"/>
          <w:color w:val="000000"/>
          <w:sz w:val="28"/>
          <w:lang w:val="en-US" w:eastAsia="zh-CN"/>
        </w:rPr>
        <w:t>5</w:t>
      </w:r>
      <w:r>
        <w:rPr>
          <w:rFonts w:hint="eastAsia" w:ascii="宋体" w:hAnsi="宋体"/>
          <w:color w:val="000000"/>
          <w:sz w:val="28"/>
        </w:rPr>
        <w:t>年   月   日</w:t>
      </w:r>
    </w:p>
    <w:p>
      <w:pPr>
        <w:pStyle w:val="2"/>
      </w:pPr>
    </w:p>
    <w:p>
      <w:pPr>
        <w:jc w:val="center"/>
        <w:rPr>
          <w:rFonts w:hint="eastAsia" w:eastAsia="仿宋_GB2312"/>
          <w:sz w:val="28"/>
        </w:rPr>
      </w:pPr>
      <w:r>
        <w:rPr>
          <w:rFonts w:hint="eastAsia" w:eastAsia="仿宋_GB2312"/>
          <w:sz w:val="28"/>
        </w:rPr>
        <w:t>北京技术市场管理办公室</w:t>
      </w:r>
    </w:p>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rPr>
      </w:pPr>
      <w:r>
        <w:rPr>
          <w:rFonts w:hint="eastAsia"/>
        </w:rPr>
        <w:t>填表说明</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一、“合同登记编号”由技术合同登记处填写。</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二、技术服务合同是指当事人一方以技术知识为另一方解决特定技术问题所订立的合同。</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技术培训合同是指当事人一方委托另一方对指定的专业技术人员进行特定项目的技术指导和专业训练所订立的合同。</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技术中介合同是指当事人一方以知识、技术、经验和信息为另一方与第三方订立技术合同进行联系、介绍、组织工业化开发并对履行合同提供服务所订立的合同。</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三、计划内项目应填写国务院部委、省、自治区、直辖市、计划单列市、地、市（县）级计划。不填写上述计划的项目此栏划（／）表示。</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四、服务内容、方式和要求</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属技术服务，此条款填写特定技术问题的难度和范围，主要技术经济指标及效益情况，具体的做法、手段、程序以及交付成果的形式。</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属技术培训，此条款填写培训内容和要求，以及培训计划、进度。</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属技术中介，此条款填写中介内容和要求。</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五、工作条件和协作事项</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包括甲方为乙方提供的资料、文件及其他条件，双方协作的具体事项。</w:t>
      </w:r>
    </w:p>
    <w:p>
      <w:pPr>
        <w:pStyle w:val="2"/>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六、本合同书中，凡是当事人约定认为无需填写的条款，在该条款填写的空白处划（／）表示。</w:t>
      </w:r>
    </w:p>
    <w:tbl>
      <w:tblPr>
        <w:tblStyle w:val="12"/>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6" w:hRule="atLeast"/>
          <w:jc w:val="center"/>
        </w:trPr>
        <w:tc>
          <w:tcPr>
            <w:tcW w:w="9017" w:type="dxa"/>
            <w:noWrap w:val="0"/>
            <w:vAlign w:val="top"/>
          </w:tcPr>
          <w:p>
            <w:pPr>
              <w:tabs>
                <w:tab w:val="left" w:pos="822"/>
              </w:tabs>
              <w:ind w:firstLine="560" w:firstLineChars="200"/>
              <w:rPr>
                <w:rFonts w:hint="eastAsia" w:ascii="宋体" w:hAnsi="宋体"/>
                <w:sz w:val="28"/>
                <w:szCs w:val="28"/>
              </w:rPr>
            </w:pPr>
            <w:r>
              <w:rPr>
                <w:rFonts w:hint="eastAsia" w:ascii="宋体" w:hAnsi="宋体"/>
                <w:sz w:val="28"/>
                <w:szCs w:val="28"/>
              </w:rPr>
              <w:t>北京市顺义区水务局（以下简称甲方）委托</w:t>
            </w:r>
            <w:r>
              <w:rPr>
                <w:rFonts w:hint="eastAsia" w:ascii="宋体" w:hAnsi="宋体"/>
                <w:sz w:val="28"/>
                <w:szCs w:val="28"/>
                <w:u w:val="single"/>
                <w:lang w:val="en-US" w:eastAsia="zh-CN"/>
              </w:rPr>
              <w:t xml:space="preserve">                    </w:t>
            </w:r>
            <w:r>
              <w:rPr>
                <w:rFonts w:hint="eastAsia" w:ascii="宋体" w:hAnsi="宋体"/>
                <w:sz w:val="28"/>
                <w:szCs w:val="28"/>
              </w:rPr>
              <w:t>对对顺义区</w:t>
            </w:r>
            <w:r>
              <w:rPr>
                <w:rFonts w:hint="eastAsia" w:ascii="宋体" w:hAnsi="宋体"/>
                <w:sz w:val="28"/>
                <w:szCs w:val="28"/>
                <w:lang w:val="en-US" w:eastAsia="zh-CN"/>
              </w:rPr>
              <w:t>污水处理厂站发送的数据收集、处理、展示</w:t>
            </w:r>
            <w:r>
              <w:rPr>
                <w:rFonts w:hint="eastAsia" w:ascii="宋体" w:hAnsi="宋体"/>
                <w:sz w:val="28"/>
                <w:szCs w:val="28"/>
              </w:rPr>
              <w:t>的软、硬件设备进行更新和维护、日常运行保障工作。依据《中华人民共和国合同法</w:t>
            </w:r>
            <w:r>
              <w:rPr>
                <w:rFonts w:hint="eastAsia" w:ascii="宋体" w:hAnsi="宋体"/>
                <w:sz w:val="28"/>
                <w:szCs w:val="28"/>
                <w:lang w:eastAsia="zh-CN"/>
              </w:rPr>
              <w:t>》</w:t>
            </w:r>
            <w:r>
              <w:rPr>
                <w:rFonts w:hint="eastAsia" w:ascii="宋体" w:hAnsi="宋体"/>
                <w:sz w:val="28"/>
                <w:szCs w:val="28"/>
              </w:rPr>
              <w:t>的规定，合同双方就“ 顺义区农村污水处理与再生水利用设施运行监测系统系统运行维护项目 ”的技术服务，经协商一致，签订本合同。</w:t>
            </w:r>
          </w:p>
          <w:p>
            <w:pPr>
              <w:pStyle w:val="2"/>
              <w:spacing w:line="240" w:lineRule="auto"/>
              <w:rPr>
                <w:rFonts w:hint="eastAsia"/>
                <w:sz w:val="28"/>
                <w:szCs w:val="28"/>
              </w:rPr>
            </w:pPr>
            <w:r>
              <w:rPr>
                <w:rFonts w:hint="eastAsia"/>
                <w:sz w:val="28"/>
                <w:szCs w:val="28"/>
              </w:rPr>
              <w:t>一、服务范围、内容、方式和要求</w:t>
            </w:r>
          </w:p>
          <w:p>
            <w:pPr>
              <w:pStyle w:val="2"/>
              <w:spacing w:line="240" w:lineRule="auto"/>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详见招标文件技术方案与要求。</w:t>
            </w:r>
          </w:p>
          <w:p>
            <w:pPr>
              <w:pStyle w:val="2"/>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（一）服务范围</w:t>
            </w:r>
          </w:p>
          <w:p>
            <w:pPr>
              <w:pStyle w:val="2"/>
              <w:spacing w:line="24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保证顺义区</w:t>
            </w:r>
            <w:r>
              <w:rPr>
                <w:rFonts w:hint="eastAsia" w:asciiTheme="minorEastAsia" w:hAnsiTheme="minorEastAsia" w:eastAsiaTheme="minorEastAsia" w:cstheme="minorEastAsia"/>
                <w:b w:val="0"/>
                <w:bCs w:val="0"/>
                <w:sz w:val="28"/>
                <w:szCs w:val="28"/>
                <w:lang w:val="en-US" w:eastAsia="zh-CN"/>
              </w:rPr>
              <w:t>污水处理厂站发送的数据收集、处理、展示</w:t>
            </w:r>
            <w:r>
              <w:rPr>
                <w:rFonts w:hint="eastAsia" w:asciiTheme="minorEastAsia" w:hAnsiTheme="minorEastAsia" w:eastAsiaTheme="minorEastAsia" w:cstheme="minorEastAsia"/>
                <w:b w:val="0"/>
                <w:bCs w:val="0"/>
                <w:sz w:val="28"/>
                <w:szCs w:val="28"/>
              </w:rPr>
              <w:t>的软、硬件设备进行更新和维护、日常运行保障工作。包括：站点设备更新维护，站点采集系统维护，软件平台运行维护</w:t>
            </w:r>
            <w:r>
              <w:rPr>
                <w:rFonts w:hint="eastAsia" w:asciiTheme="minorEastAsia" w:hAnsiTheme="minorEastAsia" w:eastAsiaTheme="minorEastAsia" w:cstheme="minorEastAsia"/>
                <w:b w:val="0"/>
                <w:bCs w:val="0"/>
                <w:sz w:val="28"/>
                <w:szCs w:val="28"/>
                <w:lang w:val="en-US" w:eastAsia="zh-CN"/>
              </w:rPr>
              <w:t>与安全防护</w:t>
            </w:r>
            <w:r>
              <w:rPr>
                <w:rFonts w:hint="eastAsia" w:asciiTheme="minorEastAsia" w:hAnsiTheme="minorEastAsia" w:eastAsiaTheme="minorEastAsia" w:cstheme="minorEastAsia"/>
                <w:b w:val="0"/>
                <w:bCs w:val="0"/>
                <w:sz w:val="28"/>
                <w:szCs w:val="28"/>
              </w:rPr>
              <w:t>，软件系统必要的升级优化，配合区水务局软件平台</w:t>
            </w:r>
            <w:r>
              <w:rPr>
                <w:rFonts w:hint="eastAsia" w:asciiTheme="minorEastAsia" w:hAnsiTheme="minorEastAsia" w:eastAsiaTheme="minorEastAsia" w:cstheme="minorEastAsia"/>
                <w:b w:val="0"/>
                <w:bCs w:val="0"/>
                <w:sz w:val="28"/>
                <w:szCs w:val="28"/>
                <w:lang w:val="en-US" w:eastAsia="zh-CN"/>
              </w:rPr>
              <w:t>电脑端</w:t>
            </w:r>
            <w:r>
              <w:rPr>
                <w:rFonts w:hint="eastAsia" w:asciiTheme="minorEastAsia" w:hAnsiTheme="minorEastAsia" w:eastAsiaTheme="minorEastAsia" w:cstheme="minorEastAsia"/>
                <w:b w:val="0"/>
                <w:bCs w:val="0"/>
                <w:sz w:val="28"/>
                <w:szCs w:val="28"/>
              </w:rPr>
              <w:t>整合等软件调整工作，其他突发状况下紧急维修。</w:t>
            </w:r>
          </w:p>
          <w:p>
            <w:pPr>
              <w:pStyle w:val="2"/>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 服务内容</w:t>
            </w:r>
          </w:p>
          <w:p>
            <w:pPr>
              <w:pStyle w:val="2"/>
              <w:spacing w:line="240" w:lineRule="auto"/>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对</w:t>
            </w:r>
            <w:r>
              <w:rPr>
                <w:rFonts w:hint="eastAsia" w:asciiTheme="minorEastAsia" w:hAnsiTheme="minorEastAsia" w:eastAsiaTheme="minorEastAsia" w:cstheme="minorEastAsia"/>
                <w:b w:val="0"/>
                <w:bCs w:val="0"/>
                <w:sz w:val="28"/>
                <w:szCs w:val="28"/>
              </w:rPr>
              <w:t>顺义区</w:t>
            </w:r>
            <w:r>
              <w:rPr>
                <w:rFonts w:hint="eastAsia" w:asciiTheme="minorEastAsia" w:hAnsiTheme="minorEastAsia" w:eastAsiaTheme="minorEastAsia" w:cstheme="minorEastAsia"/>
                <w:b w:val="0"/>
                <w:bCs w:val="0"/>
                <w:sz w:val="28"/>
                <w:szCs w:val="28"/>
                <w:lang w:val="en-US" w:eastAsia="zh-CN"/>
              </w:rPr>
              <w:t>污水处理厂站发送的数据收集、处理、展示</w:t>
            </w:r>
            <w:r>
              <w:rPr>
                <w:rFonts w:hint="eastAsia" w:asciiTheme="minorEastAsia" w:hAnsiTheme="minorEastAsia" w:eastAsiaTheme="minorEastAsia" w:cstheme="minorEastAsia"/>
                <w:b w:val="0"/>
                <w:bCs w:val="0"/>
                <w:sz w:val="28"/>
                <w:szCs w:val="28"/>
              </w:rPr>
              <w:t>的软、硬件设备进行更新和维护、日常运行保障工作。</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主要工作内容：</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 软件运维服务</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rPr>
              <w:t>1) 日常巡检与监控服务：检查服务器操作系统、数据库系统运行状态，包括资源使用、连通性等；检查数据库作业执行情况；监控应用系统连通性并进行功能性检查；</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rPr>
              <w:t>2) 系统例行维护与故障排除：定期对操作系统、应用系统、数据库进行维护，如清理文件、优化性能等；及时处理各类系统故障</w:t>
            </w:r>
            <w:r>
              <w:rPr>
                <w:rFonts w:hint="eastAsia" w:asciiTheme="minorEastAsia" w:hAnsiTheme="minorEastAsia" w:eastAsiaTheme="minorEastAsia" w:cstheme="minorEastAsia"/>
                <w:b w:val="0"/>
                <w:bCs w:val="0"/>
                <w:color w:val="auto"/>
                <w:sz w:val="28"/>
                <w:szCs w:val="28"/>
                <w:highlight w:val="none"/>
                <w:lang w:eastAsia="zh-CN"/>
              </w:rPr>
              <w:t>；</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 基础软件管理与维护服务：管理操作系统和数据库密码，定期更新；制定数据库备份计划，备份应用系统文件并定期清理；统一管理服务器策略，定期重启服务器；</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rPr>
              <w:t>) 接收数据模块运行管理与维护服务：每日巡检子模块，检查连通性、数据更新等；排除系统报错、数据异常等故障；定期备份、清理数据并校验完整性；根据需求优化相关功能；</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en-US" w:eastAsia="zh-CN"/>
              </w:rPr>
              <w:t>业务系统模块运行管理与维护服务：确保综合展示界面数据实时更新、图表正常；检查并保证系统信息与数据实际一致；</w:t>
            </w:r>
          </w:p>
          <w:p>
            <w:pPr>
              <w:pStyle w:val="2"/>
              <w:spacing w:line="240" w:lineRule="auto"/>
              <w:ind w:left="0" w:leftChars="0"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6</w:t>
            </w:r>
            <w:r>
              <w:rPr>
                <w:rFonts w:hint="eastAsia" w:asciiTheme="minorEastAsia" w:hAnsiTheme="minorEastAsia" w:eastAsiaTheme="minorEastAsia" w:cstheme="minorEastAsia"/>
                <w:b w:val="0"/>
                <w:bCs w:val="0"/>
                <w:color w:val="auto"/>
                <w:sz w:val="28"/>
                <w:szCs w:val="28"/>
                <w:highlight w:val="none"/>
              </w:rPr>
              <w:t>) 对服务器的病毒防护状况进行检测和维护， 使用病毒查杀软件对各计算机系统进行全面的病毒扫描；</w:t>
            </w:r>
          </w:p>
          <w:p>
            <w:pPr>
              <w:pStyle w:val="2"/>
              <w:spacing w:line="240" w:lineRule="auto"/>
              <w:ind w:left="0" w:leftChars="0"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en-US" w:eastAsia="zh-CN"/>
              </w:rPr>
              <w:t>硬件服务器及存储巡检：检查所有相关服务器与存储设备工作状态，记录并报告问题，跟踪故障处理</w:t>
            </w:r>
            <w:r>
              <w:rPr>
                <w:rFonts w:hint="eastAsia" w:asciiTheme="minorEastAsia" w:hAnsiTheme="minorEastAsia" w:eastAsiaTheme="minorEastAsia" w:cstheme="minorEastAsia"/>
                <w:b w:val="0"/>
                <w:bCs w:val="0"/>
                <w:color w:val="auto"/>
                <w:sz w:val="28"/>
                <w:szCs w:val="28"/>
                <w:highlight w:val="none"/>
              </w:rPr>
              <w:t>；</w:t>
            </w:r>
          </w:p>
          <w:p>
            <w:pPr>
              <w:pStyle w:val="2"/>
              <w:spacing w:line="240" w:lineRule="auto"/>
              <w:ind w:left="0" w:leftChars="0"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rPr>
              <w:t>) 服务器及存储系统维护：按要求备份业务系统数据；</w:t>
            </w:r>
            <w:r>
              <w:rPr>
                <w:rFonts w:hint="eastAsia" w:asciiTheme="minorEastAsia" w:hAnsiTheme="minorEastAsia" w:eastAsiaTheme="minorEastAsia" w:cstheme="minorEastAsia"/>
                <w:b w:val="0"/>
                <w:bCs w:val="0"/>
                <w:color w:val="auto"/>
                <w:sz w:val="28"/>
                <w:szCs w:val="28"/>
                <w:highlight w:val="none"/>
                <w:lang w:val="en-US" w:eastAsia="zh-CN"/>
              </w:rPr>
              <w:t>按要求整改</w:t>
            </w:r>
            <w:r>
              <w:rPr>
                <w:rFonts w:hint="eastAsia" w:asciiTheme="minorEastAsia" w:hAnsiTheme="minorEastAsia" w:eastAsiaTheme="minorEastAsia" w:cstheme="minorEastAsia"/>
                <w:b w:val="0"/>
                <w:bCs w:val="0"/>
                <w:color w:val="auto"/>
                <w:sz w:val="28"/>
                <w:szCs w:val="28"/>
                <w:highlight w:val="none"/>
              </w:rPr>
              <w:t>漏洞修复，无法修复的及时报告；</w:t>
            </w:r>
          </w:p>
          <w:p>
            <w:pPr>
              <w:pStyle w:val="2"/>
              <w:spacing w:line="24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 系统软件代码优化服务</w:t>
            </w:r>
          </w:p>
          <w:p>
            <w:pPr>
              <w:pStyle w:val="2"/>
              <w:spacing w:line="240" w:lineRule="auto"/>
              <w:ind w:left="0" w:leftChars="0"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en-US" w:eastAsia="zh-CN"/>
              </w:rPr>
              <w:t>优化应用程序代码以支持 IPv6 地址解析等功能；配置系统域名 AAAA 记录；执行网络连通性测试，确保各功能模块正常访问</w:t>
            </w:r>
            <w:r>
              <w:rPr>
                <w:rFonts w:hint="eastAsia" w:asciiTheme="minorEastAsia" w:hAnsiTheme="minorEastAsia" w:eastAsiaTheme="minorEastAsia" w:cstheme="minorEastAsia"/>
                <w:b w:val="0"/>
                <w:bCs w:val="0"/>
                <w:color w:val="auto"/>
                <w:sz w:val="28"/>
                <w:szCs w:val="28"/>
                <w:highlight w:val="none"/>
              </w:rPr>
              <w:t>；</w:t>
            </w:r>
          </w:p>
          <w:p>
            <w:pPr>
              <w:pStyle w:val="2"/>
              <w:spacing w:line="240" w:lineRule="auto"/>
              <w:ind w:left="0" w:leftChars="0" w:firstLine="560" w:firstLineChars="200"/>
              <w:rPr>
                <w:rFonts w:hint="eastAsia"/>
                <w:color w:val="auto"/>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 开发HJ212数据接收系统</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并维护升级</w:t>
            </w:r>
            <w:r>
              <w:rPr>
                <w:rFonts w:hint="eastAsia" w:asciiTheme="minorEastAsia" w:hAnsiTheme="minorEastAsia" w:eastAsiaTheme="minorEastAsia" w:cstheme="minorEastAsia"/>
                <w:b w:val="0"/>
                <w:bCs w:val="0"/>
                <w:color w:val="auto"/>
                <w:sz w:val="28"/>
                <w:szCs w:val="28"/>
                <w:highlight w:val="none"/>
              </w:rPr>
              <w:t>；</w:t>
            </w:r>
          </w:p>
          <w:p>
            <w:pPr>
              <w:pStyle w:val="2"/>
              <w:spacing w:line="240" w:lineRule="auto"/>
              <w:ind w:left="0" w:leftChars="0"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b w:val="0"/>
                <w:bCs w:val="0"/>
                <w:color w:val="auto"/>
                <w:sz w:val="28"/>
                <w:szCs w:val="28"/>
                <w:highlight w:val="none"/>
              </w:rPr>
              <w:t>) 开发可视化模块系统</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并维护升级；</w:t>
            </w:r>
          </w:p>
          <w:p>
            <w:pPr>
              <w:pStyle w:val="2"/>
              <w:spacing w:line="240" w:lineRule="auto"/>
              <w:ind w:left="0" w:leftChars="0"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rPr>
              <w:t>) 开发</w:t>
            </w:r>
            <w:r>
              <w:rPr>
                <w:rFonts w:hint="eastAsia" w:asciiTheme="minorEastAsia" w:hAnsiTheme="minorEastAsia" w:eastAsiaTheme="minorEastAsia" w:cstheme="minorEastAsia"/>
                <w:b w:val="0"/>
                <w:bCs w:val="0"/>
                <w:color w:val="auto"/>
                <w:sz w:val="28"/>
                <w:szCs w:val="28"/>
                <w:highlight w:val="none"/>
                <w:lang w:val="en-US" w:eastAsia="zh-CN"/>
              </w:rPr>
              <w:t>可视化</w:t>
            </w:r>
            <w:r>
              <w:rPr>
                <w:rFonts w:hint="eastAsia" w:asciiTheme="minorEastAsia" w:hAnsiTheme="minorEastAsia" w:eastAsiaTheme="minorEastAsia" w:cstheme="minorEastAsia"/>
                <w:b w:val="0"/>
                <w:bCs w:val="0"/>
                <w:color w:val="auto"/>
                <w:sz w:val="28"/>
                <w:szCs w:val="28"/>
                <w:highlight w:val="none"/>
              </w:rPr>
              <w:t>小程序</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实现</w:t>
            </w:r>
            <w:r>
              <w:rPr>
                <w:rFonts w:hint="eastAsia" w:asciiTheme="minorEastAsia" w:hAnsiTheme="minorEastAsia" w:eastAsiaTheme="minorEastAsia" w:cstheme="minorEastAsia"/>
                <w:b w:val="0"/>
                <w:bCs w:val="0"/>
                <w:color w:val="auto"/>
                <w:sz w:val="28"/>
                <w:szCs w:val="28"/>
                <w:highlight w:val="none"/>
              </w:rPr>
              <w:t>数据互通</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移动端可便捷查看核心</w:t>
            </w:r>
            <w:r>
              <w:rPr>
                <w:rFonts w:hint="eastAsia" w:asciiTheme="minorEastAsia" w:hAnsiTheme="minorEastAsia" w:eastAsiaTheme="minorEastAsia" w:cstheme="minorEastAsia"/>
                <w:b w:val="0"/>
                <w:bCs w:val="0"/>
                <w:color w:val="auto"/>
                <w:sz w:val="28"/>
                <w:szCs w:val="28"/>
                <w:highlight w:val="none"/>
                <w:lang w:val="en-US" w:eastAsia="zh-CN"/>
              </w:rPr>
              <w:t>监测</w:t>
            </w:r>
            <w:r>
              <w:rPr>
                <w:rFonts w:hint="eastAsia" w:asciiTheme="minorEastAsia" w:hAnsiTheme="minorEastAsia" w:eastAsiaTheme="minorEastAsia" w:cstheme="minorEastAsia"/>
                <w:b w:val="0"/>
                <w:bCs w:val="0"/>
                <w:color w:val="auto"/>
                <w:sz w:val="28"/>
                <w:szCs w:val="28"/>
                <w:highlight w:val="none"/>
              </w:rPr>
              <w:t>数据</w:t>
            </w:r>
            <w:r>
              <w:rPr>
                <w:rFonts w:hint="eastAsia" w:asciiTheme="minorEastAsia" w:hAnsiTheme="minorEastAsia" w:eastAsiaTheme="minorEastAsia" w:cstheme="minorEastAsia"/>
                <w:b w:val="0"/>
                <w:bCs w:val="0"/>
                <w:color w:val="auto"/>
                <w:sz w:val="28"/>
                <w:szCs w:val="28"/>
                <w:highlight w:val="none"/>
                <w:lang w:val="en-US" w:eastAsia="zh-CN"/>
              </w:rPr>
              <w:t>；</w:t>
            </w:r>
          </w:p>
          <w:p>
            <w:pPr>
              <w:pStyle w:val="2"/>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（三）维护方式</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提供技术服务、7*24小时电话支持、远程网络支持和现场维护。</w:t>
            </w:r>
          </w:p>
          <w:p>
            <w:pPr>
              <w:pStyle w:val="2"/>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（四）维护指标和要求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服务响应要求</w:t>
            </w:r>
          </w:p>
          <w:p>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根据故障具体情况，采取必要措施尽快恢复系统内设备正常运行， 通过现场服务方式对故障进行处理，并保证满足双方约定的处理时限。在系统出现异常或故障时，对软件进行故障诊断，并恢复系统正常工作状态。从甲方向乙方提出故障服务通知到乙方技术工程师开始提供服务的响应时间如下表：</w:t>
            </w:r>
          </w:p>
          <w:tbl>
            <w:tblPr>
              <w:tblStyle w:val="13"/>
              <w:tblW w:w="6248" w:type="dxa"/>
              <w:tblInd w:w="1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服务方式</w:t>
                  </w:r>
                </w:p>
              </w:tc>
              <w:tc>
                <w:tcPr>
                  <w:tcW w:w="3157"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现场服务</w:t>
                  </w:r>
                </w:p>
              </w:tc>
              <w:tc>
                <w:tcPr>
                  <w:tcW w:w="3157"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4小时</w:t>
                  </w:r>
                </w:p>
              </w:tc>
            </w:tr>
          </w:tbl>
          <w:p>
            <w:pPr>
              <w:rPr>
                <w:rFonts w:hint="eastAsia"/>
                <w:color w:val="auto"/>
                <w:highlight w:val="none"/>
              </w:rPr>
            </w:pPr>
          </w:p>
          <w:p>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殊时期（两会、汛期、十一等），需进一步加强技术支撑力度，在技术人员配备、响应、调集等方面有更高的实效，在故障发生后及时排除。特殊时期从甲方向乙方提出故障服务通知到乙方技术工程师开始提供服务的响应时间如下表：</w:t>
            </w:r>
          </w:p>
          <w:tbl>
            <w:tblPr>
              <w:tblStyle w:val="13"/>
              <w:tblW w:w="6248" w:type="dxa"/>
              <w:tblInd w:w="1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服务方式</w:t>
                  </w:r>
                </w:p>
              </w:tc>
              <w:tc>
                <w:tcPr>
                  <w:tcW w:w="3157"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1"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现场服务</w:t>
                  </w:r>
                </w:p>
              </w:tc>
              <w:tc>
                <w:tcPr>
                  <w:tcW w:w="3157" w:type="dxa"/>
                </w:tcPr>
                <w:p>
                  <w:pPr>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color w:val="auto"/>
                      <w:sz w:val="28"/>
                      <w:szCs w:val="28"/>
                      <w:highlight w:val="none"/>
                      <w:vertAlign w:val="baseline"/>
                      <w:lang w:val="en-US" w:eastAsia="zh-CN"/>
                    </w:rPr>
                    <w:t>2小时</w:t>
                  </w:r>
                </w:p>
              </w:tc>
            </w:tr>
          </w:tbl>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lang w:val="en-US" w:eastAsia="zh-CN"/>
              </w:rPr>
              <w:t>2</w:t>
            </w:r>
            <w:r>
              <w:rPr>
                <w:rFonts w:hint="eastAsia" w:asciiTheme="majorEastAsia" w:hAnsiTheme="majorEastAsia" w:eastAsiaTheme="majorEastAsia" w:cstheme="majorEastAsia"/>
                <w:b w:val="0"/>
                <w:bCs w:val="0"/>
                <w:color w:val="auto"/>
                <w:sz w:val="28"/>
                <w:szCs w:val="28"/>
                <w:highlight w:val="none"/>
              </w:rPr>
              <w:t>运维报告要求</w:t>
            </w:r>
          </w:p>
          <w:p>
            <w:pPr>
              <w:spacing w:line="24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做好运行维护记录，提交巡检报告；按照北京市顺义区水务局的要求提供汛前、汛期及年终维护报告。</w:t>
            </w:r>
          </w:p>
          <w:p>
            <w:pPr>
              <w:pStyle w:val="2"/>
              <w:spacing w:line="240" w:lineRule="auto"/>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二、工作条件和协作事项</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（一）甲方负责为乙方提供技术服务必需的现场工作环境。</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二）甲方应提供乙方运行维护工作所必需的相关资料与信息（设备所在位置，所在辖区、所在单位、及相关负责人、联系人等）和服务必需的现场工作环境，与相关部门联系，为乙方进入现场工作办理有关出入门手续。</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（三）甲方按合同要求支付合同费用。</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（四）乙方</w:t>
            </w:r>
            <w:r>
              <w:rPr>
                <w:rFonts w:hint="eastAsia" w:asciiTheme="majorEastAsia" w:hAnsiTheme="majorEastAsia" w:eastAsiaTheme="majorEastAsia" w:cstheme="majorEastAsia"/>
                <w:b w:val="0"/>
                <w:bCs w:val="0"/>
                <w:color w:val="auto"/>
                <w:sz w:val="28"/>
                <w:szCs w:val="28"/>
                <w:highlight w:val="none"/>
                <w:lang w:val="en-US" w:eastAsia="zh-CN"/>
              </w:rPr>
              <w:t>负责</w:t>
            </w:r>
            <w:r>
              <w:rPr>
                <w:rFonts w:hint="eastAsia" w:asciiTheme="majorEastAsia" w:hAnsiTheme="majorEastAsia" w:eastAsiaTheme="majorEastAsia" w:cstheme="majorEastAsia"/>
                <w:b w:val="0"/>
                <w:bCs w:val="0"/>
                <w:color w:val="auto"/>
                <w:sz w:val="28"/>
                <w:szCs w:val="28"/>
                <w:highlight w:val="none"/>
              </w:rPr>
              <w:t>合同中约定的维护技术服务工作。</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（五）乙方负责维护过程中的运维人员安全及设备安全。</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三、服务期限、地点</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服务期限：202</w:t>
            </w:r>
            <w:r>
              <w:rPr>
                <w:rFonts w:hint="eastAsia" w:asciiTheme="majorEastAsia" w:hAnsiTheme="majorEastAsia" w:eastAsiaTheme="majorEastAsia" w:cstheme="majorEastAsia"/>
                <w:b w:val="0"/>
                <w:bCs w:val="0"/>
                <w:color w:val="auto"/>
                <w:sz w:val="28"/>
                <w:szCs w:val="28"/>
                <w:highlight w:val="none"/>
                <w:lang w:val="en-US" w:eastAsia="zh-CN"/>
              </w:rPr>
              <w:t>5</w:t>
            </w:r>
            <w:r>
              <w:rPr>
                <w:rFonts w:hint="eastAsia" w:asciiTheme="majorEastAsia" w:hAnsiTheme="majorEastAsia" w:eastAsiaTheme="majorEastAsia" w:cstheme="majorEastAsia"/>
                <w:b w:val="0"/>
                <w:bCs w:val="0"/>
                <w:color w:val="auto"/>
                <w:sz w:val="28"/>
                <w:szCs w:val="28"/>
                <w:highlight w:val="none"/>
              </w:rPr>
              <w:t xml:space="preserve"> 年</w:t>
            </w:r>
            <w:r>
              <w:rPr>
                <w:rFonts w:hint="eastAsia" w:asciiTheme="majorEastAsia" w:hAnsiTheme="majorEastAsia" w:eastAsiaTheme="majorEastAsia" w:cstheme="majorEastAsia"/>
                <w:b w:val="0"/>
                <w:bCs w:val="0"/>
                <w:color w:val="auto"/>
                <w:sz w:val="28"/>
                <w:szCs w:val="28"/>
                <w:highlight w:val="none"/>
                <w:lang w:val="en-US" w:eastAsia="zh-CN"/>
              </w:rPr>
              <w:t>9</w:t>
            </w:r>
            <w:r>
              <w:rPr>
                <w:rFonts w:hint="eastAsia" w:asciiTheme="majorEastAsia" w:hAnsiTheme="majorEastAsia" w:eastAsiaTheme="majorEastAsia" w:cstheme="majorEastAsia"/>
                <w:b w:val="0"/>
                <w:bCs w:val="0"/>
                <w:color w:val="auto"/>
                <w:sz w:val="28"/>
                <w:szCs w:val="28"/>
                <w:highlight w:val="none"/>
              </w:rPr>
              <w:t>月1 日至202</w:t>
            </w:r>
            <w:r>
              <w:rPr>
                <w:rFonts w:hint="eastAsia" w:asciiTheme="majorEastAsia" w:hAnsiTheme="majorEastAsia" w:eastAsiaTheme="majorEastAsia" w:cstheme="majorEastAsia"/>
                <w:b w:val="0"/>
                <w:bCs w:val="0"/>
                <w:color w:val="auto"/>
                <w:sz w:val="28"/>
                <w:szCs w:val="28"/>
                <w:highlight w:val="none"/>
                <w:lang w:val="en-US" w:eastAsia="zh-CN"/>
              </w:rPr>
              <w:t>8</w:t>
            </w:r>
            <w:r>
              <w:rPr>
                <w:rFonts w:hint="eastAsia" w:asciiTheme="majorEastAsia" w:hAnsiTheme="majorEastAsia" w:eastAsiaTheme="majorEastAsia" w:cstheme="majorEastAsia"/>
                <w:b w:val="0"/>
                <w:bCs w:val="0"/>
                <w:color w:val="auto"/>
                <w:sz w:val="28"/>
                <w:szCs w:val="28"/>
                <w:highlight w:val="none"/>
              </w:rPr>
              <w:t xml:space="preserve"> 年</w:t>
            </w:r>
            <w:r>
              <w:rPr>
                <w:rFonts w:hint="eastAsia" w:asciiTheme="majorEastAsia" w:hAnsiTheme="majorEastAsia" w:eastAsiaTheme="majorEastAsia" w:cstheme="majorEastAsia"/>
                <w:b w:val="0"/>
                <w:bCs w:val="0"/>
                <w:color w:val="auto"/>
                <w:sz w:val="28"/>
                <w:szCs w:val="28"/>
                <w:highlight w:val="none"/>
                <w:lang w:val="en-US" w:eastAsia="zh-CN"/>
              </w:rPr>
              <w:t>8</w:t>
            </w:r>
            <w:r>
              <w:rPr>
                <w:rFonts w:hint="eastAsia" w:asciiTheme="majorEastAsia" w:hAnsiTheme="majorEastAsia" w:eastAsiaTheme="majorEastAsia" w:cstheme="majorEastAsia"/>
                <w:b w:val="0"/>
                <w:bCs w:val="0"/>
                <w:color w:val="auto"/>
                <w:sz w:val="28"/>
                <w:szCs w:val="28"/>
                <w:highlight w:val="none"/>
              </w:rPr>
              <w:t>月3</w:t>
            </w:r>
            <w:r>
              <w:rPr>
                <w:rFonts w:hint="eastAsia" w:asciiTheme="majorEastAsia" w:hAnsiTheme="majorEastAsia" w:eastAsiaTheme="majorEastAsia" w:cstheme="majorEastAsia"/>
                <w:b w:val="0"/>
                <w:bCs w:val="0"/>
                <w:color w:val="auto"/>
                <w:sz w:val="28"/>
                <w:szCs w:val="28"/>
                <w:highlight w:val="none"/>
                <w:lang w:val="en-US" w:eastAsia="zh-CN"/>
              </w:rPr>
              <w:t>1</w:t>
            </w:r>
            <w:r>
              <w:rPr>
                <w:rFonts w:hint="eastAsia" w:asciiTheme="majorEastAsia" w:hAnsiTheme="majorEastAsia" w:eastAsiaTheme="majorEastAsia" w:cstheme="majorEastAsia"/>
                <w:b w:val="0"/>
                <w:bCs w:val="0"/>
                <w:color w:val="auto"/>
                <w:sz w:val="28"/>
                <w:szCs w:val="28"/>
                <w:highlight w:val="none"/>
              </w:rPr>
              <w:t>日在北京市顺义区履行。（服务期结束后，乙方所提供用于本项目的</w:t>
            </w:r>
            <w:r>
              <w:rPr>
                <w:rFonts w:hint="eastAsia" w:asciiTheme="majorEastAsia" w:hAnsiTheme="majorEastAsia" w:eastAsiaTheme="majorEastAsia" w:cstheme="majorEastAsia"/>
                <w:b w:val="0"/>
                <w:bCs w:val="0"/>
                <w:color w:val="auto"/>
                <w:sz w:val="28"/>
                <w:szCs w:val="28"/>
                <w:highlight w:val="none"/>
                <w:lang w:eastAsia="zh-CN"/>
              </w:rPr>
              <w:t>系统运行相关</w:t>
            </w:r>
            <w:r>
              <w:rPr>
                <w:rFonts w:hint="eastAsia" w:asciiTheme="majorEastAsia" w:hAnsiTheme="majorEastAsia" w:eastAsiaTheme="majorEastAsia" w:cstheme="majorEastAsia"/>
                <w:b w:val="0"/>
                <w:bCs w:val="0"/>
                <w:color w:val="auto"/>
                <w:sz w:val="28"/>
                <w:szCs w:val="28"/>
                <w:highlight w:val="none"/>
              </w:rPr>
              <w:t>设备均归甲方所有。）</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四、考核标准和验收方式</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考核标准：乙方按照服务内容规定执行服务，完成后向甲方汇报运维情况，并按甲方要求格式提交服务报告，由甲方确认，作为运行维护服务工作完成的依据</w:t>
            </w:r>
            <w:r>
              <w:rPr>
                <w:rFonts w:hint="eastAsia" w:asciiTheme="majorEastAsia" w:hAnsiTheme="majorEastAsia" w:eastAsiaTheme="majorEastAsia" w:cstheme="majorEastAsia"/>
                <w:b w:val="0"/>
                <w:bCs w:val="0"/>
                <w:color w:val="auto"/>
                <w:sz w:val="28"/>
                <w:szCs w:val="28"/>
                <w:highlight w:val="none"/>
                <w:lang w:val="en-US" w:eastAsia="zh-CN"/>
              </w:rPr>
              <w:t>进行考核</w:t>
            </w:r>
            <w:r>
              <w:rPr>
                <w:rFonts w:hint="eastAsia" w:asciiTheme="majorEastAsia" w:hAnsiTheme="majorEastAsia" w:eastAsiaTheme="majorEastAsia" w:cstheme="majorEastAsia"/>
                <w:b w:val="0"/>
                <w:bCs w:val="0"/>
                <w:color w:val="auto"/>
                <w:sz w:val="28"/>
                <w:szCs w:val="28"/>
                <w:highlight w:val="none"/>
              </w:rPr>
              <w:t>，考核结果双方签字确认。</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五、报酬及支付方式</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（一）本项目报酬：</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本项目运维服务报酬（以下简称“合同总价款”) ：¥</w:t>
            </w:r>
            <w:r>
              <w:rPr>
                <w:rFonts w:hint="eastAsia" w:asciiTheme="majorEastAsia" w:hAnsiTheme="majorEastAsia" w:eastAsiaTheme="majorEastAsia" w:cstheme="majorEastAsia"/>
                <w:b w:val="0"/>
                <w:bCs w:val="0"/>
                <w:color w:val="auto"/>
                <w:sz w:val="28"/>
                <w:szCs w:val="28"/>
                <w:highlight w:val="none"/>
                <w:lang w:val="en-US" w:eastAsia="zh-CN"/>
              </w:rPr>
              <w:t>********</w:t>
            </w:r>
            <w:r>
              <w:rPr>
                <w:rFonts w:hint="eastAsia" w:asciiTheme="majorEastAsia" w:hAnsiTheme="majorEastAsia" w:eastAsiaTheme="majorEastAsia" w:cstheme="majorEastAsia"/>
                <w:b w:val="0"/>
                <w:bCs w:val="0"/>
                <w:color w:val="auto"/>
                <w:sz w:val="28"/>
                <w:szCs w:val="28"/>
                <w:highlight w:val="none"/>
              </w:rPr>
              <w:t>。（人民币大写：</w:t>
            </w:r>
            <w:r>
              <w:rPr>
                <w:rFonts w:hint="eastAsia" w:asciiTheme="majorEastAsia" w:hAnsiTheme="majorEastAsia" w:eastAsiaTheme="majorEastAsia" w:cstheme="majorEastAsia"/>
                <w:b w:val="0"/>
                <w:bCs w:val="0"/>
                <w:color w:val="auto"/>
                <w:sz w:val="28"/>
                <w:szCs w:val="28"/>
                <w:highlight w:val="none"/>
                <w:lang w:val="en-US" w:eastAsia="zh-CN"/>
              </w:rPr>
              <w:t>*********</w:t>
            </w:r>
            <w:r>
              <w:rPr>
                <w:rFonts w:hint="eastAsia" w:asciiTheme="majorEastAsia" w:hAnsiTheme="majorEastAsia" w:eastAsiaTheme="majorEastAsia" w:cstheme="majorEastAsia"/>
                <w:b w:val="0"/>
                <w:bCs w:val="0"/>
                <w:color w:val="auto"/>
                <w:sz w:val="28"/>
                <w:szCs w:val="28"/>
                <w:highlight w:val="none"/>
              </w:rPr>
              <w:t>） （含税） 。</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（二）支付方式</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1 ．合同价款采取分年度、分阶段支付方式，2025 年</w:t>
            </w:r>
            <w:r>
              <w:rPr>
                <w:rFonts w:hint="eastAsia" w:asciiTheme="majorEastAsia" w:hAnsiTheme="majorEastAsia" w:eastAsiaTheme="majorEastAsia" w:cstheme="majorEastAsia"/>
                <w:b w:val="0"/>
                <w:bCs w:val="0"/>
                <w:color w:val="auto"/>
                <w:sz w:val="28"/>
                <w:szCs w:val="28"/>
                <w:highlight w:val="none"/>
                <w:lang w:val="en-US" w:eastAsia="zh-CN"/>
              </w:rPr>
              <w:t>9</w:t>
            </w:r>
            <w:r>
              <w:rPr>
                <w:rFonts w:hint="eastAsia" w:asciiTheme="majorEastAsia" w:hAnsiTheme="majorEastAsia" w:eastAsiaTheme="majorEastAsia" w:cstheme="majorEastAsia"/>
                <w:b w:val="0"/>
                <w:bCs w:val="0"/>
                <w:color w:val="auto"/>
                <w:sz w:val="28"/>
                <w:szCs w:val="28"/>
                <w:highlight w:val="none"/>
              </w:rPr>
              <w:t>月1日至2026年</w:t>
            </w:r>
            <w:r>
              <w:rPr>
                <w:rFonts w:hint="eastAsia" w:asciiTheme="majorEastAsia" w:hAnsiTheme="majorEastAsia" w:eastAsiaTheme="majorEastAsia" w:cstheme="majorEastAsia"/>
                <w:b w:val="0"/>
                <w:bCs w:val="0"/>
                <w:color w:val="auto"/>
                <w:sz w:val="28"/>
                <w:szCs w:val="28"/>
                <w:highlight w:val="none"/>
                <w:lang w:val="en-US" w:eastAsia="zh-CN"/>
              </w:rPr>
              <w:t>8</w:t>
            </w:r>
            <w:r>
              <w:rPr>
                <w:rFonts w:hint="eastAsia" w:asciiTheme="majorEastAsia" w:hAnsiTheme="majorEastAsia" w:eastAsiaTheme="majorEastAsia" w:cstheme="majorEastAsia"/>
                <w:b w:val="0"/>
                <w:bCs w:val="0"/>
                <w:color w:val="auto"/>
                <w:sz w:val="28"/>
                <w:szCs w:val="28"/>
                <w:highlight w:val="none"/>
              </w:rPr>
              <w:t>月31日为第一年度， 2026 年</w:t>
            </w:r>
            <w:r>
              <w:rPr>
                <w:rFonts w:hint="eastAsia" w:asciiTheme="majorEastAsia" w:hAnsiTheme="majorEastAsia" w:eastAsiaTheme="majorEastAsia" w:cstheme="majorEastAsia"/>
                <w:b w:val="0"/>
                <w:bCs w:val="0"/>
                <w:color w:val="auto"/>
                <w:sz w:val="28"/>
                <w:szCs w:val="28"/>
                <w:highlight w:val="none"/>
                <w:lang w:val="en-US" w:eastAsia="zh-CN"/>
              </w:rPr>
              <w:t>9</w:t>
            </w:r>
            <w:r>
              <w:rPr>
                <w:rFonts w:hint="eastAsia" w:asciiTheme="majorEastAsia" w:hAnsiTheme="majorEastAsia" w:eastAsiaTheme="majorEastAsia" w:cstheme="majorEastAsia"/>
                <w:b w:val="0"/>
                <w:bCs w:val="0"/>
                <w:color w:val="auto"/>
                <w:sz w:val="28"/>
                <w:szCs w:val="28"/>
                <w:highlight w:val="none"/>
              </w:rPr>
              <w:t>月1日至2027年</w:t>
            </w:r>
            <w:r>
              <w:rPr>
                <w:rFonts w:hint="eastAsia" w:asciiTheme="majorEastAsia" w:hAnsiTheme="majorEastAsia" w:eastAsiaTheme="majorEastAsia" w:cstheme="majorEastAsia"/>
                <w:b w:val="0"/>
                <w:bCs w:val="0"/>
                <w:color w:val="auto"/>
                <w:sz w:val="28"/>
                <w:szCs w:val="28"/>
                <w:highlight w:val="none"/>
                <w:lang w:val="en-US" w:eastAsia="zh-CN"/>
              </w:rPr>
              <w:t>8</w:t>
            </w:r>
            <w:r>
              <w:rPr>
                <w:rFonts w:hint="eastAsia" w:asciiTheme="majorEastAsia" w:hAnsiTheme="majorEastAsia" w:eastAsiaTheme="majorEastAsia" w:cstheme="majorEastAsia"/>
                <w:b w:val="0"/>
                <w:bCs w:val="0"/>
                <w:color w:val="auto"/>
                <w:sz w:val="28"/>
                <w:szCs w:val="28"/>
                <w:highlight w:val="none"/>
              </w:rPr>
              <w:t>月31日为第二年度，202</w:t>
            </w:r>
            <w:r>
              <w:rPr>
                <w:rFonts w:hint="eastAsia" w:asciiTheme="majorEastAsia" w:hAnsiTheme="majorEastAsia" w:eastAsiaTheme="majorEastAsia" w:cstheme="majorEastAsia"/>
                <w:b w:val="0"/>
                <w:bCs w:val="0"/>
                <w:color w:val="auto"/>
                <w:sz w:val="28"/>
                <w:szCs w:val="28"/>
                <w:highlight w:val="none"/>
                <w:lang w:val="en-US" w:eastAsia="zh-CN"/>
              </w:rPr>
              <w:t>7</w:t>
            </w:r>
            <w:r>
              <w:rPr>
                <w:rFonts w:hint="eastAsia" w:asciiTheme="majorEastAsia" w:hAnsiTheme="majorEastAsia" w:eastAsiaTheme="majorEastAsia" w:cstheme="majorEastAsia"/>
                <w:b w:val="0"/>
                <w:bCs w:val="0"/>
                <w:color w:val="auto"/>
                <w:sz w:val="28"/>
                <w:szCs w:val="28"/>
                <w:highlight w:val="none"/>
              </w:rPr>
              <w:t>年</w:t>
            </w:r>
            <w:r>
              <w:rPr>
                <w:rFonts w:hint="eastAsia" w:asciiTheme="majorEastAsia" w:hAnsiTheme="majorEastAsia" w:eastAsiaTheme="majorEastAsia" w:cstheme="majorEastAsia"/>
                <w:b w:val="0"/>
                <w:bCs w:val="0"/>
                <w:color w:val="auto"/>
                <w:sz w:val="28"/>
                <w:szCs w:val="28"/>
                <w:highlight w:val="none"/>
                <w:lang w:val="en-US" w:eastAsia="zh-CN"/>
              </w:rPr>
              <w:t>9</w:t>
            </w:r>
            <w:r>
              <w:rPr>
                <w:rFonts w:hint="eastAsia" w:asciiTheme="majorEastAsia" w:hAnsiTheme="majorEastAsia" w:eastAsiaTheme="majorEastAsia" w:cstheme="majorEastAsia"/>
                <w:b w:val="0"/>
                <w:bCs w:val="0"/>
                <w:color w:val="auto"/>
                <w:sz w:val="28"/>
                <w:szCs w:val="28"/>
                <w:highlight w:val="none"/>
              </w:rPr>
              <w:t>月1日至2028年</w:t>
            </w:r>
            <w:r>
              <w:rPr>
                <w:rFonts w:hint="eastAsia" w:asciiTheme="majorEastAsia" w:hAnsiTheme="majorEastAsia" w:eastAsiaTheme="majorEastAsia" w:cstheme="majorEastAsia"/>
                <w:b w:val="0"/>
                <w:bCs w:val="0"/>
                <w:color w:val="auto"/>
                <w:sz w:val="28"/>
                <w:szCs w:val="28"/>
                <w:highlight w:val="none"/>
                <w:lang w:val="en-US" w:eastAsia="zh-CN"/>
              </w:rPr>
              <w:t>8</w:t>
            </w:r>
            <w:r>
              <w:rPr>
                <w:rFonts w:hint="eastAsia" w:asciiTheme="majorEastAsia" w:hAnsiTheme="majorEastAsia" w:eastAsiaTheme="majorEastAsia" w:cstheme="majorEastAsia"/>
                <w:b w:val="0"/>
                <w:bCs w:val="0"/>
                <w:color w:val="auto"/>
                <w:sz w:val="28"/>
                <w:szCs w:val="28"/>
                <w:highlight w:val="none"/>
              </w:rPr>
              <w:t>月31日为第三年度，年度价款均为</w:t>
            </w:r>
            <w:r>
              <w:rPr>
                <w:rFonts w:hint="eastAsia" w:asciiTheme="majorEastAsia" w:hAnsiTheme="majorEastAsia" w:eastAsiaTheme="majorEastAsia" w:cstheme="majorEastAsia"/>
                <w:b w:val="0"/>
                <w:bCs w:val="0"/>
                <w:color w:val="auto"/>
                <w:sz w:val="28"/>
                <w:szCs w:val="28"/>
                <w:highlight w:val="none"/>
                <w:lang w:eastAsia="zh-CN"/>
              </w:rPr>
              <w:t>拾万</w:t>
            </w:r>
            <w:r>
              <w:rPr>
                <w:rFonts w:hint="eastAsia" w:asciiTheme="majorEastAsia" w:hAnsiTheme="majorEastAsia" w:eastAsiaTheme="majorEastAsia" w:cstheme="majorEastAsia"/>
                <w:b w:val="0"/>
                <w:bCs w:val="0"/>
                <w:color w:val="auto"/>
                <w:sz w:val="28"/>
                <w:szCs w:val="28"/>
                <w:highlight w:val="none"/>
              </w:rPr>
              <w:t>元。</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每年度价款支付</w:t>
            </w:r>
            <w:r>
              <w:rPr>
                <w:rFonts w:hint="eastAsia" w:asciiTheme="majorEastAsia" w:hAnsiTheme="majorEastAsia" w:eastAsiaTheme="majorEastAsia" w:cstheme="majorEastAsia"/>
                <w:b w:val="0"/>
                <w:bCs w:val="0"/>
                <w:color w:val="auto"/>
                <w:sz w:val="28"/>
                <w:szCs w:val="28"/>
                <w:highlight w:val="none"/>
                <w:lang w:val="en-US" w:eastAsia="zh-CN"/>
              </w:rPr>
              <w:t>方式</w:t>
            </w:r>
            <w:r>
              <w:rPr>
                <w:rFonts w:hint="eastAsia" w:asciiTheme="majorEastAsia" w:hAnsiTheme="majorEastAsia" w:eastAsiaTheme="majorEastAsia" w:cstheme="majorEastAsia"/>
                <w:b w:val="0"/>
                <w:bCs w:val="0"/>
                <w:color w:val="auto"/>
                <w:sz w:val="28"/>
                <w:szCs w:val="28"/>
                <w:highlight w:val="none"/>
              </w:rPr>
              <w:t>：</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(1) 第一阶段：每年</w:t>
            </w:r>
            <w:r>
              <w:rPr>
                <w:rFonts w:hint="eastAsia" w:asciiTheme="majorEastAsia" w:hAnsiTheme="majorEastAsia" w:eastAsiaTheme="majorEastAsia" w:cstheme="majorEastAsia"/>
                <w:b w:val="0"/>
                <w:bCs w:val="0"/>
                <w:color w:val="auto"/>
                <w:sz w:val="28"/>
                <w:szCs w:val="28"/>
                <w:highlight w:val="none"/>
                <w:lang w:val="en-US" w:eastAsia="zh-CN"/>
              </w:rPr>
              <w:t>9</w:t>
            </w:r>
            <w:r>
              <w:rPr>
                <w:rFonts w:hint="eastAsia" w:asciiTheme="majorEastAsia" w:hAnsiTheme="majorEastAsia" w:eastAsiaTheme="majorEastAsia" w:cstheme="majorEastAsia"/>
                <w:b w:val="0"/>
                <w:bCs w:val="0"/>
                <w:color w:val="auto"/>
                <w:sz w:val="28"/>
                <w:szCs w:val="28"/>
                <w:highlight w:val="none"/>
              </w:rPr>
              <w:t>月1日</w:t>
            </w:r>
            <w:r>
              <w:rPr>
                <w:rFonts w:hint="eastAsia" w:asciiTheme="majorEastAsia" w:hAnsiTheme="majorEastAsia" w:eastAsiaTheme="majorEastAsia" w:cstheme="majorEastAsia"/>
                <w:b w:val="0"/>
                <w:bCs w:val="0"/>
                <w:color w:val="auto"/>
                <w:sz w:val="28"/>
                <w:szCs w:val="28"/>
                <w:highlight w:val="none"/>
                <w:lang w:val="en-US" w:eastAsia="zh-CN"/>
              </w:rPr>
              <w:t>-31日</w:t>
            </w:r>
            <w:r>
              <w:rPr>
                <w:rFonts w:hint="eastAsia" w:asciiTheme="majorEastAsia" w:hAnsiTheme="majorEastAsia" w:eastAsiaTheme="majorEastAsia" w:cstheme="majorEastAsia"/>
                <w:b w:val="0"/>
                <w:bCs w:val="0"/>
                <w:color w:val="auto"/>
                <w:sz w:val="28"/>
                <w:szCs w:val="28"/>
                <w:highlight w:val="none"/>
              </w:rPr>
              <w:t>，且资金巳到位情况下，甲方向乙方支付本年度价款的</w:t>
            </w:r>
            <w:r>
              <w:rPr>
                <w:rFonts w:hint="eastAsia" w:asciiTheme="majorEastAsia" w:hAnsiTheme="majorEastAsia" w:eastAsiaTheme="majorEastAsia" w:cstheme="majorEastAsia"/>
                <w:b w:val="0"/>
                <w:bCs w:val="0"/>
                <w:color w:val="auto"/>
                <w:sz w:val="28"/>
                <w:szCs w:val="28"/>
                <w:highlight w:val="none"/>
                <w:lang w:val="en-US" w:eastAsia="zh-CN"/>
              </w:rPr>
              <w:t>100</w:t>
            </w:r>
            <w:r>
              <w:rPr>
                <w:rFonts w:hint="eastAsia" w:asciiTheme="majorEastAsia" w:hAnsiTheme="majorEastAsia" w:eastAsiaTheme="majorEastAsia" w:cstheme="majorEastAsia"/>
                <w:b w:val="0"/>
                <w:bCs w:val="0"/>
                <w:color w:val="auto"/>
                <w:sz w:val="28"/>
                <w:szCs w:val="28"/>
                <w:highlight w:val="none"/>
              </w:rPr>
              <w:t>% ，即¥</w:t>
            </w:r>
            <w:r>
              <w:rPr>
                <w:rFonts w:hint="eastAsia" w:asciiTheme="majorEastAsia" w:hAnsiTheme="majorEastAsia" w:eastAsiaTheme="majorEastAsia" w:cstheme="majorEastAsia"/>
                <w:b w:val="0"/>
                <w:bCs w:val="0"/>
                <w:color w:val="auto"/>
                <w:sz w:val="28"/>
                <w:szCs w:val="28"/>
                <w:highlight w:val="none"/>
                <w:lang w:val="en-US" w:eastAsia="zh-CN"/>
              </w:rPr>
              <w:t>100000</w:t>
            </w:r>
            <w:r>
              <w:rPr>
                <w:rFonts w:hint="eastAsia" w:asciiTheme="majorEastAsia" w:hAnsiTheme="majorEastAsia" w:eastAsiaTheme="majorEastAsia" w:cstheme="majorEastAsia"/>
                <w:b w:val="0"/>
                <w:bCs w:val="0"/>
                <w:color w:val="auto"/>
                <w:sz w:val="28"/>
                <w:szCs w:val="28"/>
                <w:highlight w:val="none"/>
              </w:rPr>
              <w:t>（ 人民币大写：</w:t>
            </w:r>
            <w:r>
              <w:rPr>
                <w:rFonts w:hint="eastAsia" w:asciiTheme="majorEastAsia" w:hAnsiTheme="majorEastAsia" w:eastAsiaTheme="majorEastAsia" w:cstheme="majorEastAsia"/>
                <w:b w:val="0"/>
                <w:bCs w:val="0"/>
                <w:color w:val="auto"/>
                <w:sz w:val="28"/>
                <w:szCs w:val="28"/>
                <w:highlight w:val="none"/>
                <w:lang w:eastAsia="zh-CN"/>
              </w:rPr>
              <w:t>拾万</w:t>
            </w:r>
            <w:r>
              <w:rPr>
                <w:rFonts w:hint="eastAsia" w:asciiTheme="majorEastAsia" w:hAnsiTheme="majorEastAsia" w:eastAsiaTheme="majorEastAsia" w:cstheme="majorEastAsia"/>
                <w:b w:val="0"/>
                <w:bCs w:val="0"/>
                <w:color w:val="auto"/>
                <w:sz w:val="28"/>
                <w:szCs w:val="28"/>
                <w:highlight w:val="none"/>
              </w:rPr>
              <w:t>元）作为本年度第一阶段价款。</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2．乙方从第二年度起于每年</w:t>
            </w:r>
            <w:r>
              <w:rPr>
                <w:rFonts w:hint="eastAsia" w:asciiTheme="majorEastAsia" w:hAnsiTheme="majorEastAsia" w:eastAsiaTheme="majorEastAsia" w:cstheme="majorEastAsia"/>
                <w:b w:val="0"/>
                <w:bCs w:val="0"/>
                <w:color w:val="auto"/>
                <w:sz w:val="28"/>
                <w:szCs w:val="28"/>
                <w:highlight w:val="none"/>
                <w:lang w:val="en-US" w:eastAsia="zh-CN"/>
              </w:rPr>
              <w:t>8</w:t>
            </w:r>
            <w:r>
              <w:rPr>
                <w:rFonts w:hint="eastAsia" w:asciiTheme="majorEastAsia" w:hAnsiTheme="majorEastAsia" w:eastAsiaTheme="majorEastAsia" w:cstheme="majorEastAsia"/>
                <w:b w:val="0"/>
                <w:bCs w:val="0"/>
                <w:color w:val="auto"/>
                <w:sz w:val="28"/>
                <w:szCs w:val="28"/>
                <w:highlight w:val="none"/>
              </w:rPr>
              <w:t>月31日前提交上年度的服务报告， 作为支付本年度价款的前提条件，乙方未按时提交服务报告或服务</w:t>
            </w:r>
            <w:r>
              <w:rPr>
                <w:rFonts w:hint="eastAsia" w:asciiTheme="majorEastAsia" w:hAnsiTheme="majorEastAsia" w:eastAsiaTheme="majorEastAsia" w:cstheme="majorEastAsia"/>
                <w:b w:val="0"/>
                <w:bCs w:val="0"/>
                <w:color w:val="auto"/>
                <w:sz w:val="28"/>
                <w:szCs w:val="28"/>
                <w:highlight w:val="none"/>
                <w:lang w:val="en-US" w:eastAsia="zh-CN"/>
              </w:rPr>
              <w:t>工作</w:t>
            </w:r>
            <w:r>
              <w:rPr>
                <w:rFonts w:hint="eastAsia" w:asciiTheme="majorEastAsia" w:hAnsiTheme="majorEastAsia" w:eastAsiaTheme="majorEastAsia" w:cstheme="majorEastAsia"/>
                <w:b w:val="0"/>
                <w:bCs w:val="0"/>
                <w:color w:val="auto"/>
                <w:sz w:val="28"/>
                <w:szCs w:val="28"/>
                <w:highlight w:val="none"/>
              </w:rPr>
              <w:t>未</w:t>
            </w:r>
            <w:r>
              <w:rPr>
                <w:rFonts w:hint="eastAsia" w:asciiTheme="majorEastAsia" w:hAnsiTheme="majorEastAsia" w:eastAsiaTheme="majorEastAsia" w:cstheme="majorEastAsia"/>
                <w:b w:val="0"/>
                <w:bCs w:val="0"/>
                <w:color w:val="auto"/>
                <w:sz w:val="28"/>
                <w:szCs w:val="28"/>
                <w:highlight w:val="none"/>
                <w:lang w:val="en-US" w:eastAsia="zh-CN"/>
              </w:rPr>
              <w:t>通过考核</w:t>
            </w:r>
            <w:r>
              <w:rPr>
                <w:rFonts w:hint="eastAsia" w:asciiTheme="majorEastAsia" w:hAnsiTheme="majorEastAsia" w:eastAsiaTheme="majorEastAsia" w:cstheme="majorEastAsia"/>
                <w:b w:val="0"/>
                <w:bCs w:val="0"/>
                <w:color w:val="auto"/>
                <w:sz w:val="28"/>
                <w:szCs w:val="28"/>
                <w:highlight w:val="none"/>
              </w:rPr>
              <w:t>，甲方有权暂停支付后续价款且无需承担任何法律贵任。</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3．乙方应在甲方支付预付款前，向甲方提交等额、正规的国家发票，</w:t>
            </w:r>
          </w:p>
          <w:p>
            <w:pPr>
              <w:pStyle w:val="2"/>
              <w:spacing w:line="240" w:lineRule="auto"/>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否则甲方有权拒绝付款且无需承担任何法律责任。</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六、违约金或者损失赔偿</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（一） 违反本合同第一、二、三条约定，乙方应承担以下违约贵任：合同履行期间：乙方不能达到合同承诺要求， 按照《中华人民共和国民法典》及合同等相关规定由乙方向甲方赔偿，未按期完成， 每延迟一天， 按合同总额的</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1％支付违约金，违约金总额不超过合同总额的10%;</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在服务合同期限内乙方违反本合同“一、（四）2."相关约定3次以上（含3次）的，甲方有权无条件单方面解除本合同。</w:t>
            </w:r>
          </w:p>
          <w:p>
            <w:pPr>
              <w:pStyle w:val="2"/>
              <w:spacing w:line="240" w:lineRule="auto"/>
              <w:ind w:firstLine="560" w:firstLineChars="200"/>
              <w:rPr>
                <w:rFonts w:hint="eastAsia" w:asciiTheme="majorEastAsia" w:hAnsiTheme="majorEastAsia" w:eastAsiaTheme="majorEastAsia" w:cstheme="majorEastAsia"/>
                <w:b w:val="0"/>
                <w:bCs w:val="0"/>
                <w:color w:val="auto"/>
                <w:sz w:val="28"/>
                <w:szCs w:val="28"/>
                <w:highlight w:val="none"/>
              </w:rPr>
            </w:pPr>
            <w:r>
              <w:rPr>
                <w:rFonts w:hint="eastAsia" w:asciiTheme="majorEastAsia" w:hAnsiTheme="majorEastAsia" w:eastAsiaTheme="majorEastAsia" w:cstheme="majorEastAsia"/>
                <w:b w:val="0"/>
                <w:bCs w:val="0"/>
                <w:color w:val="auto"/>
                <w:sz w:val="28"/>
                <w:szCs w:val="28"/>
                <w:highlight w:val="none"/>
              </w:rPr>
              <w:t>乙方运行维护操作不当造成设备损坏</w:t>
            </w:r>
            <w:r>
              <w:rPr>
                <w:rFonts w:hint="eastAsia" w:asciiTheme="majorEastAsia" w:hAnsiTheme="majorEastAsia" w:eastAsiaTheme="majorEastAsia" w:cstheme="majorEastAsia"/>
                <w:b w:val="0"/>
                <w:bCs w:val="0"/>
                <w:color w:val="auto"/>
                <w:sz w:val="28"/>
                <w:szCs w:val="28"/>
                <w:highlight w:val="none"/>
                <w:lang w:eastAsia="zh-CN"/>
              </w:rPr>
              <w:t>，</w:t>
            </w:r>
            <w:r>
              <w:rPr>
                <w:rFonts w:hint="eastAsia" w:asciiTheme="majorEastAsia" w:hAnsiTheme="majorEastAsia" w:eastAsiaTheme="majorEastAsia" w:cstheme="majorEastAsia"/>
                <w:b w:val="0"/>
                <w:bCs w:val="0"/>
                <w:color w:val="auto"/>
                <w:sz w:val="28"/>
                <w:szCs w:val="28"/>
                <w:highlight w:val="none"/>
              </w:rPr>
              <w:t>乙方负贵恢复设备正常运行。</w:t>
            </w:r>
          </w:p>
          <w:p>
            <w:pPr>
              <w:pStyle w:val="2"/>
              <w:spacing w:line="240" w:lineRule="auto"/>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免责约定</w:t>
            </w:r>
          </w:p>
          <w:p>
            <w:pPr>
              <w:pStyle w:val="2"/>
              <w:spacing w:line="240" w:lineRule="auto"/>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 、甲方的系统搬迁期间；</w:t>
            </w:r>
          </w:p>
          <w:p>
            <w:pPr>
              <w:pStyle w:val="2"/>
              <w:spacing w:line="240" w:lineRule="auto"/>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 、因遭到雷击、水淹、地震等不可抗力自然灾害原因或遭到人为破坏造成系统不能正常工作期间。</w:t>
            </w:r>
          </w:p>
          <w:p>
            <w:pPr>
              <w:pStyle w:val="2"/>
              <w:spacing w:line="240" w:lineRule="auto"/>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七、争议的解决办法</w:t>
            </w:r>
          </w:p>
          <w:p>
            <w:pPr>
              <w:pStyle w:val="2"/>
              <w:spacing w:line="240" w:lineRule="auto"/>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在履行本合同的过程中发生争议， 应协商解决。协商不成的提交顺义区人民法院诉讼解决。</w:t>
            </w:r>
          </w:p>
          <w:p>
            <w:pPr>
              <w:pStyle w:val="2"/>
              <w:spacing w:line="240" w:lineRule="auto"/>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八、其它</w:t>
            </w:r>
          </w:p>
          <w:p>
            <w:pPr>
              <w:pStyle w:val="2"/>
              <w:spacing w:line="240" w:lineRule="auto"/>
              <w:ind w:firstLine="56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本合同一式陆份，甲乙双方各执叁份，具备同等法律效力。</w:t>
            </w:r>
          </w:p>
          <w:p>
            <w:pPr>
              <w:pStyle w:val="2"/>
              <w:spacing w:line="240" w:lineRule="auto"/>
              <w:ind w:firstLine="560" w:firstLineChars="200"/>
              <w:rPr>
                <w:rFonts w:ascii="宋体" w:hAnsi="宋体"/>
                <w:b/>
                <w:sz w:val="28"/>
              </w:rPr>
            </w:pPr>
            <w:r>
              <w:rPr>
                <w:rFonts w:hint="eastAsia" w:asciiTheme="majorEastAsia" w:hAnsiTheme="majorEastAsia" w:eastAsiaTheme="majorEastAsia" w:cstheme="majorEastAsia"/>
                <w:b w:val="0"/>
                <w:bCs w:val="0"/>
                <w:sz w:val="28"/>
                <w:szCs w:val="28"/>
              </w:rPr>
              <w:t>九、本合同自双方法定代表人、负责人或授权代表签字并加盖公章之日起生效。</w:t>
            </w:r>
          </w:p>
        </w:tc>
      </w:tr>
    </w:tbl>
    <w:p>
      <w:pPr>
        <w:bidi w:val="0"/>
        <w:rPr>
          <w:rFonts w:hint="default"/>
          <w:lang w:val="en-US" w:eastAsia="zh-CN"/>
        </w:rPr>
      </w:pPr>
    </w:p>
    <w:p>
      <w:pPr>
        <w:rPr>
          <w:rFonts w:hint="eastAsia"/>
        </w:rPr>
      </w:pPr>
      <w:bookmarkStart w:id="4" w:name="_Toc28155909"/>
    </w:p>
    <w:p>
      <w:pPr>
        <w:pStyle w:val="3"/>
        <w:spacing w:before="120" w:after="480"/>
        <w:jc w:val="center"/>
      </w:pPr>
      <w:r>
        <w:rPr>
          <w:rFonts w:hint="eastAsia"/>
        </w:rPr>
        <w:t>第二章  响应</w:t>
      </w:r>
      <w:r>
        <w:t>文件格式</w:t>
      </w:r>
      <w:bookmarkEnd w:id="4"/>
    </w:p>
    <w:tbl>
      <w:tblPr>
        <w:tblStyle w:val="13"/>
        <w:tblW w:w="8051"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jc w:val="center"/>
        </w:trPr>
        <w:tc>
          <w:tcPr>
            <w:tcW w:w="8051" w:type="dxa"/>
            <w:vAlign w:val="center"/>
          </w:tcPr>
          <w:p>
            <w:pPr>
              <w:spacing w:line="276" w:lineRule="auto"/>
              <w:contextualSpacing/>
              <w:jc w:val="center"/>
              <w:rPr>
                <w:rFonts w:hint="default" w:ascii="黑体" w:hAnsi="黑体" w:eastAsia="黑体"/>
                <w:b/>
                <w:sz w:val="48"/>
                <w:szCs w:val="28"/>
                <w:lang w:val="en-US" w:eastAsia="zh-CN"/>
              </w:rPr>
            </w:pPr>
            <w:r>
              <w:rPr>
                <w:rFonts w:hint="eastAsia" w:ascii="黑体" w:hAnsi="黑体" w:eastAsia="黑体"/>
                <w:b/>
                <w:sz w:val="48"/>
                <w:szCs w:val="28"/>
              </w:rPr>
              <w:t>顺义区农村污水处理与再生水利用设施运行监测系统运行维护项目</w:t>
            </w:r>
          </w:p>
          <w:p>
            <w:pPr>
              <w:pStyle w:val="19"/>
              <w:widowControl/>
              <w:spacing w:line="560" w:lineRule="exact"/>
              <w:jc w:val="center"/>
              <w:rPr>
                <w:rFonts w:ascii="宋体" w:hAnsi="宋体" w:eastAsia="宋体" w:cs="黑体"/>
                <w:kern w:val="2"/>
                <w:sz w:val="44"/>
                <w:szCs w:val="44"/>
              </w:rPr>
            </w:pPr>
          </w:p>
        </w:tc>
      </w:tr>
    </w:tbl>
    <w:p>
      <w:pPr>
        <w:ind w:left="720" w:hanging="720"/>
        <w:jc w:val="center"/>
        <w:rPr>
          <w:rFonts w:ascii="宋体" w:hAnsi="宋体" w:eastAsia="宋体"/>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宋体" w:hAnsi="宋体"/>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宋体" w:hAnsi="宋体" w:eastAsia="宋体"/>
          <w:b/>
          <w:bCs/>
          <w:sz w:val="32"/>
          <w:szCs w:val="32"/>
          <w:u w:val="single"/>
        </w:rPr>
      </w:pPr>
      <w:r>
        <w:rPr>
          <w:rFonts w:hint="eastAsia" w:ascii="宋体" w:hAnsi="宋体" w:eastAsia="宋体"/>
          <w:b/>
          <w:bCs/>
          <w:sz w:val="32"/>
          <w:szCs w:val="32"/>
        </w:rPr>
        <w:t>参选人（公章）：</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p>
    <w:p>
      <w:pPr>
        <w:spacing w:line="720" w:lineRule="auto"/>
        <w:ind w:left="720" w:hanging="720"/>
        <w:jc w:val="left"/>
        <w:rPr>
          <w:rFonts w:ascii="宋体" w:hAnsi="宋体" w:eastAsia="宋体"/>
          <w:b/>
          <w:bCs/>
          <w:sz w:val="32"/>
          <w:szCs w:val="32"/>
          <w:u w:val="single"/>
        </w:rPr>
      </w:pPr>
      <w:r>
        <w:rPr>
          <w:rFonts w:hint="eastAsia" w:ascii="宋体" w:hAnsi="宋体" w:eastAsia="宋体"/>
          <w:b/>
          <w:bCs/>
          <w:sz w:val="32"/>
          <w:szCs w:val="32"/>
        </w:rPr>
        <w:t>法定代表人（签字或盖章）：</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p>
    <w:p>
      <w:pPr>
        <w:spacing w:line="720" w:lineRule="auto"/>
        <w:ind w:left="720" w:hanging="720"/>
        <w:jc w:val="left"/>
        <w:rPr>
          <w:rFonts w:ascii="宋体" w:hAnsi="宋体" w:eastAsia="宋体"/>
          <w:b/>
          <w:bCs/>
          <w:sz w:val="32"/>
          <w:szCs w:val="32"/>
          <w:u w:val="single"/>
        </w:rPr>
      </w:pPr>
      <w:r>
        <w:rPr>
          <w:rFonts w:hint="eastAsia" w:ascii="宋体" w:hAnsi="宋体" w:eastAsia="宋体"/>
          <w:b/>
          <w:bCs/>
          <w:sz w:val="32"/>
          <w:szCs w:val="32"/>
        </w:rPr>
        <w:t xml:space="preserve">日 </w:t>
      </w:r>
      <w:r>
        <w:rPr>
          <w:rFonts w:ascii="宋体" w:hAnsi="宋体" w:eastAsia="宋体"/>
          <w:b/>
          <w:bCs/>
          <w:sz w:val="32"/>
          <w:szCs w:val="32"/>
        </w:rPr>
        <w:t xml:space="preserve">         </w:t>
      </w:r>
      <w:r>
        <w:rPr>
          <w:rFonts w:hint="eastAsia" w:ascii="宋体" w:hAnsi="宋体" w:eastAsia="宋体"/>
          <w:b/>
          <w:bCs/>
          <w:sz w:val="32"/>
          <w:szCs w:val="32"/>
        </w:rPr>
        <w:t>期：</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p>
    <w:p>
      <w:pPr>
        <w:spacing w:line="480" w:lineRule="auto"/>
        <w:ind w:left="720" w:hanging="720"/>
        <w:jc w:val="center"/>
        <w:rPr>
          <w:rFonts w:ascii="宋体" w:hAnsi="宋体" w:eastAsia="宋体"/>
          <w:b/>
          <w:bCs/>
          <w:sz w:val="32"/>
          <w:szCs w:val="32"/>
        </w:rPr>
      </w:pPr>
    </w:p>
    <w:p>
      <w:pPr>
        <w:spacing w:line="480" w:lineRule="auto"/>
        <w:ind w:left="720" w:hanging="720"/>
        <w:jc w:val="center"/>
        <w:rPr>
          <w:rFonts w:ascii="宋体" w:hAnsi="宋体" w:eastAsia="宋体"/>
          <w:b/>
          <w:bCs/>
          <w:sz w:val="32"/>
          <w:szCs w:val="32"/>
        </w:rPr>
      </w:pPr>
    </w:p>
    <w:p>
      <w:pPr>
        <w:spacing w:line="480" w:lineRule="auto"/>
        <w:ind w:left="720" w:hanging="720"/>
        <w:jc w:val="center"/>
        <w:rPr>
          <w:rFonts w:ascii="宋体" w:hAnsi="宋体" w:eastAsia="宋体"/>
          <w:b/>
          <w:bCs/>
          <w:sz w:val="32"/>
          <w:szCs w:val="32"/>
        </w:rPr>
      </w:pPr>
    </w:p>
    <w:p>
      <w:pPr>
        <w:spacing w:line="480" w:lineRule="auto"/>
        <w:ind w:left="720" w:hanging="720"/>
        <w:jc w:val="center"/>
        <w:rPr>
          <w:rFonts w:ascii="宋体" w:hAnsi="宋体" w:eastAsia="宋体"/>
          <w:b/>
          <w:bCs/>
          <w:sz w:val="32"/>
          <w:szCs w:val="32"/>
        </w:rPr>
      </w:pPr>
    </w:p>
    <w:p>
      <w:pPr>
        <w:spacing w:line="480" w:lineRule="auto"/>
        <w:ind w:left="720" w:hanging="720"/>
        <w:jc w:val="center"/>
        <w:rPr>
          <w:rFonts w:ascii="宋体" w:hAnsi="宋体" w:eastAsia="宋体"/>
          <w:b/>
          <w:bCs/>
          <w:sz w:val="32"/>
          <w:szCs w:val="32"/>
        </w:rPr>
      </w:pPr>
      <w:r>
        <w:rPr>
          <w:rFonts w:hint="eastAsia" w:ascii="宋体" w:hAnsi="宋体" w:eastAsia="宋体"/>
          <w:b/>
          <w:bCs/>
          <w:sz w:val="32"/>
          <w:szCs w:val="32"/>
        </w:rPr>
        <w:t xml:space="preserve">目 </w:t>
      </w:r>
      <w:r>
        <w:rPr>
          <w:rFonts w:ascii="宋体" w:hAnsi="宋体" w:eastAsia="宋体"/>
          <w:b/>
          <w:bCs/>
          <w:sz w:val="32"/>
          <w:szCs w:val="32"/>
        </w:rPr>
        <w:t xml:space="preserve">  </w:t>
      </w:r>
      <w:r>
        <w:rPr>
          <w:rFonts w:hint="eastAsia" w:ascii="宋体" w:hAnsi="宋体" w:eastAsia="宋体"/>
          <w:b/>
          <w:bCs/>
          <w:sz w:val="32"/>
          <w:szCs w:val="32"/>
        </w:rPr>
        <w:t>录</w:t>
      </w:r>
    </w:p>
    <w:p>
      <w:pPr>
        <w:spacing w:line="480" w:lineRule="auto"/>
        <w:ind w:left="720" w:hanging="720"/>
        <w:jc w:val="center"/>
        <w:rPr>
          <w:rFonts w:ascii="宋体" w:hAnsi="宋体" w:eastAsia="宋体"/>
          <w:b/>
          <w:bCs/>
          <w:sz w:val="32"/>
          <w:szCs w:val="32"/>
        </w:rPr>
      </w:pP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Style w:val="16"/>
          <w:rFonts w:ascii="宋体" w:hAnsi="宋体" w:cs="仿宋"/>
          <w:b/>
          <w:bCs/>
          <w:color w:val="auto"/>
          <w:sz w:val="24"/>
          <w:szCs w:val="24"/>
        </w:rPr>
      </w:pPr>
      <w:r>
        <w:rPr>
          <w:rStyle w:val="16"/>
          <w:rFonts w:ascii="宋体" w:hAnsi="宋体" w:cs="仿宋"/>
          <w:b/>
          <w:bCs/>
          <w:color w:val="auto"/>
          <w:sz w:val="24"/>
          <w:szCs w:val="24"/>
        </w:rPr>
        <w:fldChar w:fldCharType="begin"/>
      </w:r>
      <w:r>
        <w:rPr>
          <w:rStyle w:val="16"/>
          <w:rFonts w:ascii="宋体" w:hAnsi="宋体" w:cs="仿宋"/>
          <w:b/>
          <w:bCs/>
          <w:color w:val="auto"/>
          <w:sz w:val="24"/>
          <w:szCs w:val="24"/>
        </w:rPr>
        <w:instrText xml:space="preserve"> TOC \o "1-3" \h \z \u </w:instrText>
      </w:r>
      <w:r>
        <w:rPr>
          <w:rStyle w:val="16"/>
          <w:rFonts w:ascii="宋体" w:hAnsi="宋体" w:cs="仿宋"/>
          <w:b/>
          <w:bCs/>
          <w:color w:val="auto"/>
          <w:sz w:val="24"/>
          <w:szCs w:val="24"/>
        </w:rPr>
        <w:fldChar w:fldCharType="separate"/>
      </w:r>
      <w:r>
        <w:rPr>
          <w:rFonts w:ascii="宋体" w:hAnsi="宋体" w:cs="仿宋"/>
          <w:b/>
          <w:bCs/>
          <w:sz w:val="24"/>
          <w:szCs w:val="24"/>
        </w:rPr>
        <w:t>一、 报价函</w:t>
      </w: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Style w:val="16"/>
          <w:rFonts w:ascii="宋体" w:hAnsi="宋体" w:cs="仿宋"/>
          <w:b/>
          <w:bCs/>
          <w:color w:val="auto"/>
          <w:sz w:val="24"/>
          <w:szCs w:val="24"/>
        </w:rPr>
      </w:pPr>
      <w:r>
        <w:rPr>
          <w:rFonts w:ascii="宋体" w:hAnsi="宋体" w:cs="仿宋"/>
          <w:b/>
          <w:bCs/>
          <w:sz w:val="24"/>
          <w:szCs w:val="24"/>
        </w:rPr>
        <w:t>二、</w:t>
      </w:r>
      <w:r>
        <w:rPr>
          <w:rFonts w:hint="eastAsia" w:ascii="宋体" w:hAnsi="宋体" w:cs="仿宋"/>
          <w:b/>
          <w:bCs/>
          <w:sz w:val="24"/>
          <w:szCs w:val="24"/>
        </w:rPr>
        <w:t>资质证明材料</w:t>
      </w: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Fonts w:hint="eastAsia" w:ascii="宋体" w:hAnsi="宋体" w:cs="仿宋"/>
          <w:b/>
          <w:bCs/>
          <w:sz w:val="24"/>
          <w:szCs w:val="24"/>
        </w:rPr>
      </w:pPr>
      <w:r>
        <w:rPr>
          <w:rFonts w:ascii="宋体" w:hAnsi="宋体" w:cs="仿宋"/>
          <w:b/>
          <w:bCs/>
          <w:sz w:val="24"/>
          <w:szCs w:val="24"/>
        </w:rPr>
        <w:t>三、</w:t>
      </w:r>
      <w:r>
        <w:rPr>
          <w:rFonts w:hint="eastAsia" w:ascii="宋体" w:hAnsi="宋体" w:cs="仿宋"/>
          <w:b/>
          <w:bCs/>
          <w:sz w:val="24"/>
          <w:szCs w:val="24"/>
        </w:rPr>
        <w:t>近一年经审计财务会计报表或银行开具的资信证明</w:t>
      </w: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Style w:val="16"/>
          <w:rFonts w:ascii="宋体" w:hAnsi="宋体" w:cs="仿宋"/>
          <w:b/>
          <w:bCs/>
          <w:color w:val="auto"/>
          <w:sz w:val="24"/>
          <w:szCs w:val="24"/>
        </w:rPr>
      </w:pPr>
      <w:r>
        <w:rPr>
          <w:rFonts w:hint="eastAsia" w:ascii="宋体" w:hAnsi="宋体" w:cs="仿宋"/>
          <w:b/>
          <w:bCs/>
          <w:sz w:val="24"/>
          <w:szCs w:val="24"/>
          <w:lang w:eastAsia="zh-CN"/>
        </w:rPr>
        <w:t>四</w:t>
      </w:r>
      <w:r>
        <w:rPr>
          <w:rFonts w:ascii="宋体" w:hAnsi="宋体" w:cs="仿宋"/>
          <w:b/>
          <w:bCs/>
          <w:sz w:val="24"/>
          <w:szCs w:val="24"/>
        </w:rPr>
        <w:t>、</w:t>
      </w:r>
      <w:r>
        <w:rPr>
          <w:rFonts w:hint="eastAsia" w:ascii="宋体" w:hAnsi="宋体" w:cs="仿宋"/>
          <w:b/>
          <w:bCs/>
          <w:sz w:val="24"/>
          <w:szCs w:val="24"/>
        </w:rPr>
        <w:t>近</w:t>
      </w:r>
      <w:r>
        <w:rPr>
          <w:rFonts w:hint="eastAsia" w:ascii="宋体" w:hAnsi="宋体" w:cs="仿宋"/>
          <w:b/>
          <w:bCs/>
          <w:sz w:val="24"/>
          <w:szCs w:val="24"/>
          <w:lang w:val="en-US" w:eastAsia="zh-CN"/>
        </w:rPr>
        <w:t>3</w:t>
      </w:r>
      <w:r>
        <w:rPr>
          <w:rFonts w:hint="eastAsia" w:ascii="宋体" w:hAnsi="宋体" w:cs="仿宋"/>
          <w:b/>
          <w:bCs/>
          <w:sz w:val="24"/>
          <w:szCs w:val="24"/>
        </w:rPr>
        <w:t>年已完成的类似项目业绩</w:t>
      </w: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Style w:val="16"/>
          <w:rFonts w:ascii="宋体" w:hAnsi="宋体" w:cs="仿宋"/>
          <w:b/>
          <w:bCs/>
          <w:color w:val="auto"/>
          <w:sz w:val="24"/>
          <w:szCs w:val="24"/>
        </w:rPr>
      </w:pPr>
      <w:r>
        <w:rPr>
          <w:rFonts w:hint="eastAsia" w:ascii="宋体" w:hAnsi="宋体" w:cs="仿宋"/>
          <w:b/>
          <w:bCs/>
          <w:sz w:val="24"/>
          <w:szCs w:val="24"/>
          <w:lang w:eastAsia="zh-CN"/>
        </w:rPr>
        <w:t>五</w:t>
      </w:r>
      <w:r>
        <w:rPr>
          <w:rFonts w:ascii="宋体" w:hAnsi="宋体" w:cs="仿宋"/>
          <w:b/>
          <w:bCs/>
          <w:sz w:val="24"/>
          <w:szCs w:val="24"/>
        </w:rPr>
        <w:t>、拟参加本项目工作人员表</w:t>
      </w: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Style w:val="16"/>
          <w:rFonts w:ascii="宋体" w:hAnsi="宋体" w:cs="仿宋"/>
          <w:b/>
          <w:bCs/>
          <w:color w:val="auto"/>
          <w:sz w:val="24"/>
          <w:szCs w:val="24"/>
        </w:rPr>
      </w:pPr>
      <w:r>
        <w:rPr>
          <w:rFonts w:hint="eastAsia" w:ascii="宋体" w:hAnsi="宋体" w:cs="仿宋"/>
          <w:b/>
          <w:bCs/>
          <w:sz w:val="24"/>
          <w:szCs w:val="24"/>
          <w:lang w:eastAsia="zh-CN"/>
        </w:rPr>
        <w:t>六、</w:t>
      </w:r>
      <w:r>
        <w:rPr>
          <w:rFonts w:ascii="宋体" w:hAnsi="宋体" w:cs="仿宋"/>
          <w:b/>
          <w:bCs/>
          <w:sz w:val="24"/>
          <w:szCs w:val="24"/>
        </w:rPr>
        <w:t>信用查询截图</w:t>
      </w: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Fonts w:ascii="宋体" w:hAnsi="宋体" w:cs="仿宋"/>
          <w:b/>
          <w:bCs/>
          <w:sz w:val="24"/>
          <w:szCs w:val="24"/>
        </w:rPr>
      </w:pPr>
      <w:r>
        <w:rPr>
          <w:rFonts w:hint="eastAsia" w:ascii="宋体" w:hAnsi="宋体" w:cs="仿宋"/>
          <w:b/>
          <w:bCs/>
          <w:sz w:val="24"/>
          <w:szCs w:val="24"/>
          <w:lang w:eastAsia="zh-CN"/>
        </w:rPr>
        <w:t>七</w:t>
      </w:r>
      <w:r>
        <w:rPr>
          <w:rFonts w:ascii="宋体" w:hAnsi="宋体" w:cs="仿宋"/>
          <w:b/>
          <w:bCs/>
          <w:sz w:val="24"/>
          <w:szCs w:val="24"/>
        </w:rPr>
        <w:t>、</w:t>
      </w:r>
      <w:r>
        <w:rPr>
          <w:rFonts w:hint="eastAsia" w:ascii="宋体" w:hAnsi="宋体" w:cs="仿宋"/>
          <w:b/>
          <w:bCs/>
          <w:sz w:val="24"/>
          <w:szCs w:val="24"/>
          <w:lang w:eastAsia="zh-CN"/>
        </w:rPr>
        <w:t>运营维护</w:t>
      </w:r>
      <w:r>
        <w:rPr>
          <w:rFonts w:ascii="宋体" w:hAnsi="宋体" w:cs="仿宋"/>
          <w:b/>
          <w:bCs/>
          <w:sz w:val="24"/>
          <w:szCs w:val="24"/>
        </w:rPr>
        <w:t>方案</w:t>
      </w:r>
    </w:p>
    <w:p>
      <w:pPr>
        <w:pStyle w:val="10"/>
        <w:keepNext w:val="0"/>
        <w:keepLines w:val="0"/>
        <w:pageBreakBefore w:val="0"/>
        <w:tabs>
          <w:tab w:val="left" w:pos="840"/>
          <w:tab w:val="right" w:leader="dot" w:pos="8296"/>
        </w:tabs>
        <w:kinsoku/>
        <w:wordWrap/>
        <w:overflowPunct/>
        <w:topLinePunct w:val="0"/>
        <w:autoSpaceDE/>
        <w:autoSpaceDN/>
        <w:bidi w:val="0"/>
        <w:adjustRightInd/>
        <w:snapToGrid/>
        <w:spacing w:line="360" w:lineRule="auto"/>
        <w:textAlignment w:val="auto"/>
        <w:rPr>
          <w:rFonts w:hint="eastAsia" w:ascii="宋体" w:hAnsi="宋体" w:cs="仿宋"/>
          <w:b/>
          <w:bCs/>
          <w:sz w:val="24"/>
          <w:szCs w:val="24"/>
          <w:lang w:eastAsia="zh-CN"/>
        </w:rPr>
      </w:pPr>
      <w:r>
        <w:rPr>
          <w:rStyle w:val="16"/>
          <w:rFonts w:ascii="宋体" w:hAnsi="宋体" w:cs="仿宋"/>
          <w:b/>
          <w:bCs/>
          <w:color w:val="auto"/>
          <w:sz w:val="24"/>
          <w:szCs w:val="24"/>
        </w:rPr>
        <w:fldChar w:fldCharType="end"/>
      </w:r>
      <w:r>
        <w:rPr>
          <w:rFonts w:hint="eastAsia" w:ascii="宋体" w:hAnsi="宋体" w:cs="仿宋"/>
          <w:b/>
          <w:bCs/>
          <w:sz w:val="24"/>
          <w:szCs w:val="24"/>
          <w:lang w:eastAsia="zh-CN"/>
        </w:rPr>
        <w:t>八、比选打分表</w:t>
      </w: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ind w:left="720" w:hanging="720"/>
        <w:jc w:val="center"/>
        <w:rPr>
          <w:rFonts w:ascii="宋体" w:hAnsi="宋体" w:eastAsia="宋体"/>
          <w:sz w:val="28"/>
          <w:szCs w:val="28"/>
        </w:rPr>
      </w:pPr>
    </w:p>
    <w:p>
      <w:pPr>
        <w:pStyle w:val="17"/>
        <w:rPr>
          <w:rFonts w:ascii="宋体" w:hAnsi="宋体" w:eastAsia="宋体"/>
          <w:sz w:val="28"/>
          <w:szCs w:val="28"/>
        </w:rPr>
      </w:pPr>
    </w:p>
    <w:p>
      <w:pPr>
        <w:pStyle w:val="17"/>
        <w:rPr>
          <w:rFonts w:ascii="宋体" w:hAnsi="宋体" w:eastAsia="宋体"/>
          <w:sz w:val="28"/>
          <w:szCs w:val="28"/>
        </w:rPr>
      </w:pPr>
    </w:p>
    <w:p>
      <w:pPr>
        <w:pStyle w:val="3"/>
        <w:jc w:val="center"/>
        <w:rPr>
          <w:rFonts w:ascii="宋体" w:hAnsi="宋体" w:eastAsia="宋体"/>
          <w:w w:val="90"/>
          <w:sz w:val="28"/>
          <w:szCs w:val="28"/>
        </w:rPr>
      </w:pPr>
      <w:bookmarkStart w:id="5" w:name="_Toc54795948"/>
      <w:r>
        <w:rPr>
          <w:rFonts w:hint="eastAsia" w:ascii="宋体" w:hAnsi="宋体" w:eastAsia="宋体"/>
          <w:w w:val="90"/>
          <w:sz w:val="28"/>
          <w:szCs w:val="28"/>
        </w:rPr>
        <w:t xml:space="preserve">一、 </w:t>
      </w:r>
      <w:r>
        <w:rPr>
          <w:rFonts w:hint="eastAsia" w:ascii="宋体" w:hAnsi="宋体" w:eastAsia="宋体"/>
          <w:sz w:val="28"/>
          <w:szCs w:val="28"/>
        </w:rPr>
        <w:t>报价函</w:t>
      </w:r>
      <w:bookmarkEnd w:id="5"/>
    </w:p>
    <w:p>
      <w:pPr>
        <w:spacing w:line="480" w:lineRule="auto"/>
        <w:rPr>
          <w:rFonts w:ascii="宋体" w:hAnsi="宋体" w:eastAsia="宋体"/>
          <w:sz w:val="28"/>
          <w:szCs w:val="28"/>
          <w:u w:val="single"/>
        </w:rPr>
      </w:pPr>
      <w:r>
        <w:rPr>
          <w:rFonts w:hint="eastAsia" w:ascii="宋体" w:hAnsi="宋体" w:eastAsia="宋体"/>
          <w:sz w:val="28"/>
          <w:szCs w:val="28"/>
        </w:rPr>
        <w:t>致：</w:t>
      </w:r>
    </w:p>
    <w:p>
      <w:pPr>
        <w:ind w:firstLine="560" w:firstLineChars="200"/>
        <w:rPr>
          <w:rFonts w:ascii="宋体" w:hAnsi="宋体"/>
          <w:sz w:val="28"/>
          <w:szCs w:val="28"/>
        </w:rPr>
      </w:pPr>
      <w:r>
        <w:rPr>
          <w:rFonts w:hint="eastAsia" w:ascii="宋体" w:hAnsi="宋体"/>
          <w:sz w:val="28"/>
          <w:szCs w:val="28"/>
        </w:rPr>
        <w:t>我方在顺义区农村污水处理与再生水利用设施运行监测系统运行维护项目中，愿以</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万元</w:t>
      </w:r>
      <w:r>
        <w:rPr>
          <w:rFonts w:hint="eastAsia" w:ascii="宋体" w:hAnsi="宋体"/>
          <w:sz w:val="28"/>
          <w:szCs w:val="28"/>
        </w:rPr>
        <w:t>，承担本项目相关工作，并提交比选文件要求的全套应答文件。</w:t>
      </w:r>
    </w:p>
    <w:p>
      <w:pPr>
        <w:ind w:firstLine="560" w:firstLineChars="200"/>
        <w:rPr>
          <w:rFonts w:ascii="宋体" w:hAnsi="宋体"/>
          <w:sz w:val="28"/>
          <w:szCs w:val="28"/>
        </w:rPr>
      </w:pPr>
      <w:r>
        <w:rPr>
          <w:rFonts w:hint="eastAsia" w:ascii="宋体" w:hAnsi="宋体"/>
          <w:sz w:val="28"/>
          <w:szCs w:val="28"/>
        </w:rPr>
        <w:t>若贵方接受我方报价，我方承诺依据国家级地方法律法规、规范、标准等要求完成工作</w:t>
      </w:r>
      <w:r>
        <w:rPr>
          <w:rFonts w:hint="eastAsia" w:ascii="宋体" w:hAnsi="宋体"/>
          <w:sz w:val="28"/>
          <w:szCs w:val="28"/>
          <w:lang w:eastAsia="zh-CN"/>
        </w:rPr>
        <w:t>，</w:t>
      </w:r>
      <w:r>
        <w:rPr>
          <w:rFonts w:hint="eastAsia" w:ascii="宋体" w:hAnsi="宋体"/>
          <w:sz w:val="28"/>
          <w:szCs w:val="28"/>
        </w:rPr>
        <w:t>并承诺积极、认真配合委托人工作。</w:t>
      </w:r>
    </w:p>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spacing w:line="700" w:lineRule="exact"/>
        <w:ind w:firstLine="4480" w:firstLineChars="1600"/>
        <w:jc w:val="left"/>
        <w:rPr>
          <w:rFonts w:ascii="宋体" w:hAnsi="宋体" w:eastAsia="宋体"/>
          <w:sz w:val="28"/>
          <w:szCs w:val="28"/>
        </w:rPr>
      </w:pPr>
      <w:r>
        <w:rPr>
          <w:rFonts w:hint="eastAsia" w:ascii="宋体" w:hAnsi="宋体" w:eastAsia="宋体"/>
          <w:sz w:val="28"/>
          <w:szCs w:val="28"/>
        </w:rPr>
        <w:t>投标人：（盖章）</w:t>
      </w:r>
    </w:p>
    <w:p>
      <w:pPr>
        <w:spacing w:line="700" w:lineRule="exact"/>
        <w:ind w:firstLine="4480" w:firstLineChars="1600"/>
        <w:jc w:val="left"/>
        <w:rPr>
          <w:rFonts w:ascii="宋体" w:hAnsi="宋体" w:eastAsia="宋体"/>
          <w:sz w:val="28"/>
          <w:szCs w:val="28"/>
        </w:rPr>
      </w:pPr>
      <w:r>
        <w:rPr>
          <w:rFonts w:hint="eastAsia" w:ascii="宋体" w:hAnsi="宋体" w:eastAsia="宋体"/>
          <w:sz w:val="28"/>
          <w:szCs w:val="28"/>
        </w:rPr>
        <w:t>法定代表人：（签字或盖章）</w:t>
      </w:r>
    </w:p>
    <w:p>
      <w:pPr>
        <w:spacing w:line="700" w:lineRule="exact"/>
        <w:ind w:firstLine="4480" w:firstLineChars="1600"/>
        <w:jc w:val="left"/>
        <w:rPr>
          <w:rFonts w:ascii="宋体" w:hAnsi="宋体" w:eastAsia="宋体"/>
          <w:sz w:val="28"/>
          <w:szCs w:val="28"/>
        </w:rPr>
      </w:pPr>
      <w:r>
        <w:rPr>
          <w:rFonts w:hint="eastAsia" w:ascii="宋体" w:hAnsi="宋体" w:eastAsia="宋体"/>
          <w:sz w:val="28"/>
          <w:szCs w:val="28"/>
        </w:rPr>
        <w:t>日  期：</w:t>
      </w:r>
      <w:r>
        <w:rPr>
          <w:rFonts w:ascii="宋体" w:hAnsi="宋体" w:eastAsia="宋体"/>
          <w:sz w:val="28"/>
          <w:szCs w:val="28"/>
        </w:rPr>
        <w:t xml:space="preserve">   </w:t>
      </w: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p>
      <w:pPr>
        <w:ind w:firstLine="560" w:firstLineChars="200"/>
        <w:rPr>
          <w:rFonts w:ascii="宋体" w:hAnsi="宋体" w:eastAsia="宋体"/>
          <w:sz w:val="28"/>
          <w:szCs w:val="28"/>
        </w:rPr>
        <w:sectPr>
          <w:pgSz w:w="11906" w:h="16838"/>
          <w:pgMar w:top="1440" w:right="1800" w:bottom="1440" w:left="1800" w:header="851" w:footer="992" w:gutter="0"/>
          <w:cols w:space="720" w:num="1"/>
          <w:docGrid w:type="lines" w:linePitch="312" w:charSpace="0"/>
        </w:sectPr>
      </w:pPr>
    </w:p>
    <w:p>
      <w:pPr>
        <w:pStyle w:val="3"/>
        <w:jc w:val="center"/>
        <w:rPr>
          <w:rFonts w:ascii="宋体" w:hAnsi="宋体" w:eastAsia="宋体"/>
          <w:w w:val="90"/>
          <w:sz w:val="28"/>
          <w:szCs w:val="28"/>
        </w:rPr>
      </w:pPr>
      <w:bookmarkStart w:id="6" w:name="_Toc54795949"/>
      <w:r>
        <w:rPr>
          <w:rFonts w:hint="eastAsia" w:ascii="宋体" w:hAnsi="宋体" w:eastAsia="宋体" w:cs="仿宋"/>
          <w:sz w:val="28"/>
          <w:szCs w:val="28"/>
        </w:rPr>
        <w:t>二、营业执照及资质复印件</w:t>
      </w:r>
      <w:bookmarkEnd w:id="6"/>
    </w:p>
    <w:p>
      <w:pPr>
        <w:jc w:val="center"/>
        <w:rPr>
          <w:rFonts w:ascii="宋体" w:hAnsi="宋体" w:eastAsia="宋体" w:cs="仿宋"/>
          <w:b/>
          <w:sz w:val="28"/>
          <w:szCs w:val="28"/>
        </w:rPr>
      </w:pPr>
      <w:r>
        <w:rPr>
          <w:rFonts w:hint="eastAsia" w:ascii="宋体" w:hAnsi="宋体" w:eastAsia="宋体" w:cs="仿宋"/>
          <w:b/>
          <w:sz w:val="28"/>
          <w:szCs w:val="28"/>
        </w:rPr>
        <w:t>（须加盖本单位公章）</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3"/>
        <w:jc w:val="center"/>
        <w:rPr>
          <w:rFonts w:ascii="宋体" w:hAnsi="宋体" w:eastAsia="宋体"/>
          <w:bCs w:val="0"/>
          <w:w w:val="90"/>
          <w:sz w:val="28"/>
          <w:szCs w:val="28"/>
        </w:rPr>
      </w:pPr>
      <w:bookmarkStart w:id="7" w:name="_Toc54795950"/>
      <w:r>
        <w:rPr>
          <w:rFonts w:hint="eastAsia" w:ascii="宋体" w:hAnsi="宋体" w:eastAsia="宋体" w:cs="仿宋"/>
          <w:bCs w:val="0"/>
          <w:sz w:val="28"/>
          <w:szCs w:val="28"/>
        </w:rPr>
        <w:t>三、近一年经审计财务会计报表</w:t>
      </w:r>
      <w:bookmarkEnd w:id="7"/>
      <w:r>
        <w:rPr>
          <w:rFonts w:hint="eastAsia" w:ascii="宋体" w:hAnsi="宋体" w:eastAsia="宋体" w:cs="仿宋"/>
          <w:bCs w:val="0"/>
          <w:sz w:val="28"/>
          <w:szCs w:val="28"/>
        </w:rPr>
        <w:t>或银行开具的资信证明</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22"/>
        <w:numPr>
          <w:ilvl w:val="0"/>
          <w:numId w:val="3"/>
        </w:numPr>
        <w:ind w:firstLineChars="0"/>
        <w:outlineLvl w:val="0"/>
        <w:rPr>
          <w:rFonts w:ascii="宋体" w:hAnsi="宋体" w:eastAsia="宋体" w:cs="仿宋"/>
          <w:b/>
          <w:bCs/>
          <w:sz w:val="28"/>
          <w:szCs w:val="28"/>
        </w:rPr>
      </w:pPr>
      <w:bookmarkStart w:id="8" w:name="_Toc54795951"/>
      <w:r>
        <w:rPr>
          <w:rFonts w:hint="eastAsia" w:ascii="宋体" w:hAnsi="宋体" w:eastAsia="宋体" w:cs="仿宋"/>
          <w:b/>
          <w:bCs/>
          <w:sz w:val="28"/>
          <w:szCs w:val="28"/>
        </w:rPr>
        <w:t>近</w:t>
      </w:r>
      <w:r>
        <w:rPr>
          <w:rFonts w:hint="eastAsia" w:ascii="宋体" w:hAnsi="宋体" w:cs="仿宋"/>
          <w:b/>
          <w:bCs/>
          <w:sz w:val="28"/>
          <w:szCs w:val="28"/>
          <w:lang w:eastAsia="zh-CN"/>
        </w:rPr>
        <w:t>三</w:t>
      </w:r>
      <w:r>
        <w:rPr>
          <w:rFonts w:hint="eastAsia" w:ascii="宋体" w:hAnsi="宋体" w:eastAsia="宋体" w:cs="仿宋"/>
          <w:b/>
          <w:bCs/>
          <w:sz w:val="28"/>
          <w:szCs w:val="28"/>
        </w:rPr>
        <w:t>年内已完成的类似项目业绩</w:t>
      </w:r>
      <w:bookmarkEnd w:id="8"/>
    </w:p>
    <w:p>
      <w:pPr>
        <w:rPr>
          <w:rFonts w:ascii="宋体" w:hAnsi="宋体"/>
          <w:sz w:val="22"/>
          <w:szCs w:val="22"/>
        </w:rPr>
      </w:pPr>
    </w:p>
    <w:tbl>
      <w:tblPr>
        <w:tblStyle w:val="12"/>
        <w:tblW w:w="83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1276"/>
        <w:gridCol w:w="1276"/>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b/>
                <w:sz w:val="22"/>
                <w:szCs w:val="22"/>
              </w:rPr>
            </w:pPr>
            <w:r>
              <w:rPr>
                <w:rFonts w:hint="eastAsia" w:ascii="宋体" w:hAnsi="宋体"/>
                <w:b/>
                <w:sz w:val="22"/>
                <w:szCs w:val="22"/>
              </w:rPr>
              <w:t xml:space="preserve"> 序号</w:t>
            </w:r>
          </w:p>
        </w:tc>
        <w:tc>
          <w:tcPr>
            <w:tcW w:w="2862" w:type="dxa"/>
            <w:vAlign w:val="center"/>
          </w:tcPr>
          <w:p>
            <w:pPr>
              <w:jc w:val="center"/>
              <w:rPr>
                <w:rFonts w:ascii="宋体" w:hAnsi="宋体"/>
                <w:b/>
                <w:sz w:val="22"/>
                <w:szCs w:val="22"/>
              </w:rPr>
            </w:pPr>
            <w:r>
              <w:rPr>
                <w:rFonts w:hint="eastAsia" w:ascii="宋体" w:hAnsi="宋体"/>
                <w:b/>
                <w:sz w:val="22"/>
                <w:szCs w:val="22"/>
              </w:rPr>
              <w:t>项目名称</w:t>
            </w:r>
          </w:p>
        </w:tc>
        <w:tc>
          <w:tcPr>
            <w:tcW w:w="1134" w:type="dxa"/>
            <w:vAlign w:val="center"/>
          </w:tcPr>
          <w:p>
            <w:pPr>
              <w:jc w:val="center"/>
              <w:rPr>
                <w:rFonts w:ascii="宋体" w:hAnsi="宋体"/>
                <w:b/>
                <w:bCs/>
                <w:sz w:val="22"/>
                <w:szCs w:val="22"/>
              </w:rPr>
            </w:pPr>
            <w:r>
              <w:rPr>
                <w:rFonts w:hint="eastAsia" w:ascii="宋体" w:hAnsi="宋体"/>
                <w:b/>
                <w:bCs/>
                <w:sz w:val="22"/>
                <w:szCs w:val="22"/>
              </w:rPr>
              <w:t>招标人</w:t>
            </w:r>
          </w:p>
        </w:tc>
        <w:tc>
          <w:tcPr>
            <w:tcW w:w="1276" w:type="dxa"/>
            <w:vAlign w:val="center"/>
          </w:tcPr>
          <w:p>
            <w:pPr>
              <w:jc w:val="center"/>
              <w:rPr>
                <w:rFonts w:ascii="宋体" w:hAnsi="宋体"/>
                <w:b/>
                <w:bCs/>
                <w:sz w:val="22"/>
                <w:szCs w:val="22"/>
              </w:rPr>
            </w:pPr>
            <w:r>
              <w:rPr>
                <w:rFonts w:hint="eastAsia" w:ascii="宋体" w:hAnsi="宋体"/>
                <w:b/>
                <w:bCs/>
                <w:sz w:val="22"/>
                <w:szCs w:val="22"/>
              </w:rPr>
              <w:t>时间</w:t>
            </w:r>
          </w:p>
        </w:tc>
        <w:tc>
          <w:tcPr>
            <w:tcW w:w="1276" w:type="dxa"/>
            <w:vAlign w:val="center"/>
          </w:tcPr>
          <w:p>
            <w:pPr>
              <w:jc w:val="center"/>
              <w:rPr>
                <w:rFonts w:ascii="宋体" w:hAnsi="宋体"/>
                <w:b/>
                <w:bCs/>
                <w:sz w:val="22"/>
                <w:szCs w:val="22"/>
              </w:rPr>
            </w:pPr>
            <w:r>
              <w:rPr>
                <w:rFonts w:hint="eastAsia" w:ascii="宋体" w:hAnsi="宋体"/>
                <w:b/>
                <w:bCs/>
                <w:sz w:val="22"/>
                <w:szCs w:val="22"/>
              </w:rPr>
              <w:t>中标金额</w:t>
            </w:r>
          </w:p>
          <w:p>
            <w:pPr>
              <w:jc w:val="center"/>
              <w:rPr>
                <w:rFonts w:ascii="宋体" w:hAnsi="宋体"/>
                <w:b/>
                <w:bCs/>
                <w:sz w:val="22"/>
                <w:szCs w:val="22"/>
              </w:rPr>
            </w:pPr>
            <w:r>
              <w:rPr>
                <w:rFonts w:hint="eastAsia" w:ascii="宋体" w:hAnsi="宋体"/>
                <w:b/>
                <w:bCs/>
                <w:sz w:val="22"/>
                <w:szCs w:val="22"/>
              </w:rPr>
              <w:t>(万元</w:t>
            </w:r>
            <w:r>
              <w:rPr>
                <w:rFonts w:ascii="宋体" w:hAnsi="宋体"/>
                <w:b/>
                <w:bCs/>
                <w:sz w:val="22"/>
                <w:szCs w:val="22"/>
              </w:rPr>
              <w:t>)</w:t>
            </w:r>
          </w:p>
        </w:tc>
        <w:tc>
          <w:tcPr>
            <w:tcW w:w="1134" w:type="dxa"/>
            <w:vAlign w:val="center"/>
          </w:tcPr>
          <w:p>
            <w:pPr>
              <w:jc w:val="center"/>
              <w:rPr>
                <w:rFonts w:ascii="宋体" w:hAnsi="宋体"/>
                <w:b/>
                <w:sz w:val="22"/>
                <w:szCs w:val="22"/>
              </w:rPr>
            </w:pPr>
            <w:r>
              <w:rPr>
                <w:rFonts w:hint="eastAsia" w:ascii="宋体" w:hAnsi="宋体"/>
                <w:b/>
                <w:bCs/>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862" w:type="dxa"/>
            <w:vAlign w:val="center"/>
          </w:tcPr>
          <w:p>
            <w:pPr>
              <w:rPr>
                <w:rFonts w:ascii="宋体" w:hAnsi="宋体"/>
                <w:b/>
                <w:sz w:val="22"/>
                <w:szCs w:val="22"/>
              </w:rPr>
            </w:pPr>
          </w:p>
        </w:tc>
        <w:tc>
          <w:tcPr>
            <w:tcW w:w="1134"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276" w:type="dxa"/>
            <w:vAlign w:val="center"/>
          </w:tcPr>
          <w:p>
            <w:pPr>
              <w:rPr>
                <w:rFonts w:ascii="宋体" w:hAnsi="宋体"/>
                <w:b/>
                <w:sz w:val="22"/>
                <w:szCs w:val="22"/>
              </w:rPr>
            </w:pPr>
          </w:p>
        </w:tc>
        <w:tc>
          <w:tcPr>
            <w:tcW w:w="1134" w:type="dxa"/>
            <w:vAlign w:val="center"/>
          </w:tcPr>
          <w:p>
            <w:pPr>
              <w:rPr>
                <w:rFonts w:ascii="宋体" w:hAnsi="宋体"/>
                <w:b/>
                <w:sz w:val="22"/>
                <w:szCs w:val="22"/>
              </w:rPr>
            </w:pPr>
          </w:p>
        </w:tc>
      </w:tr>
    </w:tbl>
    <w:p>
      <w:pPr>
        <w:pStyle w:val="23"/>
        <w:ind w:firstLine="0" w:firstLineChars="0"/>
        <w:rPr>
          <w:rFonts w:ascii="宋体" w:eastAsia="宋体"/>
          <w:b/>
          <w:sz w:val="22"/>
          <w:szCs w:val="22"/>
        </w:rPr>
      </w:pPr>
      <w:r>
        <w:rPr>
          <w:rFonts w:hint="eastAsia" w:ascii="宋体" w:eastAsia="宋体"/>
          <w:b/>
          <w:sz w:val="22"/>
          <w:szCs w:val="22"/>
        </w:rPr>
        <w:t>注：须提供业绩相关证明文件复印件加盖公章。</w:t>
      </w:r>
    </w:p>
    <w:p>
      <w:pPr>
        <w:pStyle w:val="23"/>
        <w:ind w:firstLine="453"/>
        <w:rPr>
          <w:rFonts w:ascii="宋体" w:eastAsia="宋体"/>
          <w:sz w:val="22"/>
          <w:szCs w:val="22"/>
        </w:rPr>
      </w:pPr>
    </w:p>
    <w:p>
      <w:pPr>
        <w:pStyle w:val="23"/>
        <w:ind w:firstLine="453"/>
        <w:rPr>
          <w:rFonts w:ascii="宋体" w:eastAsia="宋体"/>
          <w:sz w:val="22"/>
          <w:szCs w:val="22"/>
        </w:rPr>
      </w:pPr>
    </w:p>
    <w:p>
      <w:pPr>
        <w:wordWrap w:val="0"/>
        <w:spacing w:line="288" w:lineRule="auto"/>
        <w:ind w:right="680"/>
        <w:jc w:val="right"/>
        <w:rPr>
          <w:rFonts w:ascii="宋体" w:hAnsi="宋体" w:eastAsia="宋体" w:cs="仿宋"/>
          <w:sz w:val="28"/>
          <w:szCs w:val="28"/>
        </w:rPr>
      </w:pPr>
      <w:r>
        <w:rPr>
          <w:rFonts w:hint="eastAsia" w:ascii="宋体" w:hAnsi="宋体" w:eastAsia="宋体" w:cs="仿宋"/>
          <w:sz w:val="28"/>
          <w:szCs w:val="28"/>
        </w:rPr>
        <w:t>投标人：</w:t>
      </w:r>
      <w:r>
        <w:rPr>
          <w:rFonts w:hint="eastAsia" w:ascii="宋体" w:hAnsi="宋体" w:eastAsia="宋体" w:cs="仿宋"/>
          <w:sz w:val="28"/>
          <w:szCs w:val="28"/>
          <w:u w:val="single"/>
        </w:rPr>
        <w:t xml:space="preserve"> </w:t>
      </w:r>
      <w:r>
        <w:rPr>
          <w:rFonts w:ascii="宋体" w:hAnsi="宋体" w:eastAsia="宋体" w:cs="仿宋"/>
          <w:sz w:val="28"/>
          <w:szCs w:val="28"/>
          <w:u w:val="single"/>
        </w:rPr>
        <w:t xml:space="preserve">         </w:t>
      </w:r>
      <w:r>
        <w:rPr>
          <w:rFonts w:hint="eastAsia" w:ascii="宋体" w:hAnsi="宋体" w:eastAsia="宋体" w:cs="仿宋"/>
          <w:sz w:val="28"/>
          <w:szCs w:val="28"/>
        </w:rPr>
        <w:t>（盖章）</w:t>
      </w:r>
    </w:p>
    <w:p>
      <w:pPr>
        <w:wordWrap w:val="0"/>
        <w:spacing w:line="288" w:lineRule="auto"/>
        <w:ind w:right="120"/>
        <w:jc w:val="right"/>
        <w:rPr>
          <w:rFonts w:ascii="宋体" w:hAnsi="宋体" w:eastAsia="宋体" w:cs="仿宋"/>
          <w:sz w:val="28"/>
          <w:szCs w:val="28"/>
        </w:rPr>
      </w:pPr>
      <w:r>
        <w:rPr>
          <w:rFonts w:hint="eastAsia" w:ascii="宋体" w:hAnsi="宋体" w:eastAsia="宋体" w:cs="仿宋"/>
          <w:sz w:val="28"/>
          <w:szCs w:val="28"/>
        </w:rPr>
        <w:t xml:space="preserve"> </w:t>
      </w:r>
      <w:r>
        <w:rPr>
          <w:rFonts w:ascii="宋体" w:hAnsi="宋体" w:eastAsia="宋体" w:cs="仿宋"/>
          <w:sz w:val="28"/>
          <w:szCs w:val="28"/>
        </w:rPr>
        <w:t xml:space="preserve">     </w:t>
      </w:r>
      <w:r>
        <w:rPr>
          <w:rFonts w:hint="eastAsia" w:ascii="宋体" w:hAnsi="宋体" w:eastAsia="宋体" w:cs="仿宋"/>
          <w:sz w:val="28"/>
          <w:szCs w:val="28"/>
        </w:rPr>
        <w:t>投标人法定代表人：</w:t>
      </w:r>
      <w:r>
        <w:rPr>
          <w:rFonts w:hint="eastAsia" w:ascii="宋体" w:hAnsi="宋体" w:eastAsia="宋体" w:cs="仿宋"/>
          <w:sz w:val="28"/>
          <w:szCs w:val="28"/>
          <w:u w:val="single"/>
        </w:rPr>
        <w:t xml:space="preserve"> </w:t>
      </w:r>
      <w:r>
        <w:rPr>
          <w:rFonts w:ascii="宋体" w:hAnsi="宋体" w:eastAsia="宋体" w:cs="仿宋"/>
          <w:sz w:val="28"/>
          <w:szCs w:val="28"/>
          <w:u w:val="single"/>
        </w:rPr>
        <w:t xml:space="preserve">      </w:t>
      </w:r>
      <w:r>
        <w:rPr>
          <w:rFonts w:hint="eastAsia" w:ascii="宋体" w:hAnsi="宋体" w:eastAsia="宋体" w:cs="仿宋"/>
          <w:sz w:val="28"/>
          <w:szCs w:val="28"/>
        </w:rPr>
        <w:t>（签名或盖章）</w:t>
      </w:r>
    </w:p>
    <w:p>
      <w:pPr>
        <w:wordWrap w:val="0"/>
        <w:spacing w:line="288" w:lineRule="auto"/>
        <w:ind w:right="1240" w:firstLine="3920" w:firstLineChars="1400"/>
        <w:rPr>
          <w:rFonts w:ascii="宋体" w:hAnsi="宋体" w:eastAsia="宋体" w:cs="仿宋"/>
          <w:sz w:val="28"/>
          <w:szCs w:val="28"/>
        </w:rPr>
      </w:pPr>
      <w:r>
        <w:rPr>
          <w:rFonts w:hint="eastAsia" w:ascii="宋体" w:hAnsi="宋体" w:eastAsia="宋体" w:cs="仿宋"/>
          <w:sz w:val="28"/>
          <w:szCs w:val="28"/>
        </w:rPr>
        <w:t>日   期：</w:t>
      </w:r>
    </w:p>
    <w:p>
      <w:pPr>
        <w:wordWrap w:val="0"/>
        <w:spacing w:line="288" w:lineRule="auto"/>
        <w:ind w:right="120"/>
        <w:jc w:val="right"/>
        <w:rPr>
          <w:rFonts w:ascii="宋体" w:hAnsi="宋体" w:eastAsia="宋体" w:cs="仿宋"/>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22"/>
        <w:numPr>
          <w:ilvl w:val="0"/>
          <w:numId w:val="4"/>
        </w:numPr>
        <w:ind w:firstLineChars="0"/>
        <w:jc w:val="center"/>
        <w:outlineLvl w:val="0"/>
        <w:rPr>
          <w:rFonts w:ascii="宋体" w:hAnsi="宋体" w:eastAsia="宋体" w:cs="仿宋"/>
          <w:b/>
          <w:bCs/>
          <w:sz w:val="28"/>
          <w:szCs w:val="28"/>
        </w:rPr>
      </w:pPr>
      <w:bookmarkStart w:id="9" w:name="_Toc54795952"/>
      <w:r>
        <w:rPr>
          <w:rFonts w:hint="eastAsia" w:ascii="宋体" w:hAnsi="宋体" w:eastAsia="宋体" w:cs="仿宋"/>
          <w:b/>
          <w:bCs/>
          <w:sz w:val="28"/>
          <w:szCs w:val="28"/>
        </w:rPr>
        <w:t>拟参加本项目工作人员表</w:t>
      </w:r>
      <w:bookmarkEnd w:id="9"/>
    </w:p>
    <w:p>
      <w:pPr>
        <w:jc w:val="center"/>
        <w:rPr>
          <w:rFonts w:ascii="宋体" w:hAnsi="宋体" w:eastAsia="宋体" w:cs="仿宋"/>
          <w:b/>
          <w:bCs/>
          <w:sz w:val="28"/>
          <w:szCs w:val="28"/>
        </w:rPr>
      </w:pPr>
    </w:p>
    <w:tbl>
      <w:tblPr>
        <w:tblStyle w:val="1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744"/>
        <w:gridCol w:w="1467"/>
        <w:gridCol w:w="36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988" w:type="dxa"/>
            <w:tcBorders>
              <w:top w:val="single" w:color="auto" w:sz="4" w:space="0"/>
              <w:left w:val="single" w:color="auto" w:sz="4" w:space="0"/>
              <w:bottom w:val="single" w:color="auto" w:sz="4" w:space="0"/>
              <w:right w:val="single" w:color="auto" w:sz="4" w:space="0"/>
            </w:tcBorders>
            <w:vAlign w:val="center"/>
          </w:tcPr>
          <w:p>
            <w:r>
              <w:t>姓名</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rPr>
              <w:t>性别</w:t>
            </w:r>
          </w:p>
        </w:tc>
        <w:tc>
          <w:tcPr>
            <w:tcW w:w="744" w:type="dxa"/>
            <w:tcBorders>
              <w:top w:val="single" w:color="auto" w:sz="4" w:space="0"/>
              <w:left w:val="single" w:color="auto" w:sz="4" w:space="0"/>
              <w:bottom w:val="single" w:color="auto" w:sz="4" w:space="0"/>
              <w:right w:val="single" w:color="auto" w:sz="4" w:space="0"/>
            </w:tcBorders>
            <w:vAlign w:val="center"/>
          </w:tcPr>
          <w:p>
            <w:r>
              <w:rPr>
                <w:rFonts w:hint="eastAsia"/>
              </w:rPr>
              <w:t>年龄</w:t>
            </w:r>
          </w:p>
        </w:tc>
        <w:tc>
          <w:tcPr>
            <w:tcW w:w="1467" w:type="dxa"/>
            <w:tcBorders>
              <w:top w:val="single" w:color="auto" w:sz="4" w:space="0"/>
              <w:left w:val="single" w:color="auto" w:sz="4" w:space="0"/>
              <w:right w:val="single" w:color="auto" w:sz="4" w:space="0"/>
            </w:tcBorders>
            <w:vAlign w:val="center"/>
          </w:tcPr>
          <w:p>
            <w:pPr>
              <w:jc w:val="center"/>
            </w:pPr>
            <w:r>
              <w:rPr>
                <w:rFonts w:hint="eastAsia"/>
              </w:rPr>
              <w:t>从事本行业时间（年）</w:t>
            </w:r>
          </w:p>
        </w:tc>
        <w:tc>
          <w:tcPr>
            <w:tcW w:w="3601" w:type="dxa"/>
            <w:tcBorders>
              <w:top w:val="single" w:color="auto" w:sz="4" w:space="0"/>
              <w:left w:val="single" w:color="auto" w:sz="4" w:space="0"/>
              <w:right w:val="single" w:color="auto" w:sz="4" w:space="0"/>
            </w:tcBorders>
            <w:vAlign w:val="center"/>
          </w:tcPr>
          <w:p>
            <w:pPr>
              <w:jc w:val="center"/>
            </w:pPr>
            <w:r>
              <w:rPr>
                <w:rFonts w:hint="eastAsia"/>
              </w:rPr>
              <w:t>近</w:t>
            </w:r>
            <w:r>
              <w:rPr>
                <w:rFonts w:hint="eastAsia"/>
                <w:lang w:val="en-US" w:eastAsia="zh-CN"/>
              </w:rPr>
              <w:t>3</w:t>
            </w:r>
            <w:r>
              <w:rPr>
                <w:rFonts w:hint="eastAsia"/>
              </w:rPr>
              <w:t>年来主要工作业绩及承担的主要工作</w:t>
            </w:r>
          </w:p>
        </w:tc>
        <w:tc>
          <w:tcPr>
            <w:tcW w:w="851" w:type="dxa"/>
            <w:tcBorders>
              <w:top w:val="single" w:color="auto" w:sz="4" w:space="0"/>
              <w:left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tc>
        <w:tc>
          <w:tcPr>
            <w:tcW w:w="708" w:type="dxa"/>
            <w:tcBorders>
              <w:top w:val="single" w:color="auto" w:sz="4" w:space="0"/>
              <w:left w:val="single" w:color="auto" w:sz="4" w:space="0"/>
              <w:bottom w:val="single" w:color="auto" w:sz="4" w:space="0"/>
              <w:right w:val="single" w:color="auto" w:sz="4" w:space="0"/>
            </w:tcBorders>
            <w:vAlign w:val="center"/>
          </w:tcPr>
          <w:p/>
        </w:tc>
        <w:tc>
          <w:tcPr>
            <w:tcW w:w="744" w:type="dxa"/>
            <w:tcBorders>
              <w:top w:val="single" w:color="auto" w:sz="4" w:space="0"/>
              <w:left w:val="single" w:color="auto" w:sz="4" w:space="0"/>
              <w:bottom w:val="single" w:color="auto" w:sz="4" w:space="0"/>
              <w:right w:val="single" w:color="auto" w:sz="4" w:space="0"/>
            </w:tcBorders>
            <w:vAlign w:val="center"/>
          </w:tcPr>
          <w:p/>
        </w:tc>
        <w:tc>
          <w:tcPr>
            <w:tcW w:w="1467" w:type="dxa"/>
            <w:tcBorders>
              <w:top w:val="single" w:color="auto" w:sz="4" w:space="0"/>
              <w:left w:val="single" w:color="auto" w:sz="4" w:space="0"/>
              <w:bottom w:val="single" w:color="auto" w:sz="4" w:space="0"/>
              <w:right w:val="single" w:color="auto" w:sz="4" w:space="0"/>
            </w:tcBorders>
            <w:vAlign w:val="center"/>
          </w:tcPr>
          <w:p/>
        </w:tc>
        <w:tc>
          <w:tcPr>
            <w:tcW w:w="3601" w:type="dxa"/>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top"/>
          </w:tcPr>
          <w:p/>
        </w:tc>
        <w:tc>
          <w:tcPr>
            <w:tcW w:w="708" w:type="dxa"/>
            <w:tcBorders>
              <w:top w:val="single" w:color="auto" w:sz="4" w:space="0"/>
              <w:left w:val="single" w:color="auto" w:sz="4" w:space="0"/>
              <w:bottom w:val="single" w:color="auto" w:sz="4" w:space="0"/>
              <w:right w:val="single" w:color="auto" w:sz="4" w:space="0"/>
            </w:tcBorders>
            <w:vAlign w:val="top"/>
          </w:tcPr>
          <w:p/>
        </w:tc>
        <w:tc>
          <w:tcPr>
            <w:tcW w:w="744" w:type="dxa"/>
            <w:tcBorders>
              <w:top w:val="single" w:color="auto" w:sz="4" w:space="0"/>
              <w:left w:val="single" w:color="auto" w:sz="4" w:space="0"/>
              <w:bottom w:val="single" w:color="auto" w:sz="4" w:space="0"/>
              <w:right w:val="single" w:color="auto" w:sz="4" w:space="0"/>
            </w:tcBorders>
            <w:vAlign w:val="top"/>
          </w:tcPr>
          <w:p/>
        </w:tc>
        <w:tc>
          <w:tcPr>
            <w:tcW w:w="1467" w:type="dxa"/>
            <w:tcBorders>
              <w:top w:val="single" w:color="auto" w:sz="4" w:space="0"/>
              <w:left w:val="single" w:color="auto" w:sz="4" w:space="0"/>
              <w:bottom w:val="single" w:color="auto" w:sz="4" w:space="0"/>
              <w:right w:val="single" w:color="auto" w:sz="4" w:space="0"/>
            </w:tcBorders>
            <w:vAlign w:val="top"/>
          </w:tcPr>
          <w:p/>
        </w:tc>
        <w:tc>
          <w:tcPr>
            <w:tcW w:w="3601" w:type="dxa"/>
            <w:tcBorders>
              <w:top w:val="single" w:color="auto" w:sz="4" w:space="0"/>
              <w:left w:val="single" w:color="auto" w:sz="4" w:space="0"/>
              <w:bottom w:val="single" w:color="auto" w:sz="4" w:space="0"/>
              <w:right w:val="single" w:color="auto" w:sz="4" w:space="0"/>
            </w:tcBorders>
            <w:vAlign w:val="top"/>
          </w:tcPr>
          <w:p/>
        </w:tc>
        <w:tc>
          <w:tcPr>
            <w:tcW w:w="851" w:type="dxa"/>
            <w:tcBorders>
              <w:top w:val="single" w:color="auto" w:sz="4" w:space="0"/>
              <w:left w:val="single" w:color="auto" w:sz="4" w:space="0"/>
              <w:bottom w:val="single" w:color="auto" w:sz="4" w:space="0"/>
              <w:right w:val="single" w:color="auto" w:sz="4" w:space="0"/>
            </w:tcBorders>
            <w:vAlign w:val="top"/>
          </w:tcPr>
          <w:p/>
        </w:tc>
      </w:tr>
    </w:tbl>
    <w:p>
      <w:pPr>
        <w:jc w:val="left"/>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jc w:val="center"/>
        <w:rPr>
          <w:rFonts w:ascii="宋体" w:hAnsi="宋体" w:eastAsia="宋体" w:cs="仿宋"/>
          <w:b/>
          <w:bCs/>
          <w:sz w:val="28"/>
          <w:szCs w:val="28"/>
        </w:rPr>
      </w:pPr>
    </w:p>
    <w:p>
      <w:pPr>
        <w:pStyle w:val="22"/>
        <w:numPr>
          <w:ilvl w:val="0"/>
          <w:numId w:val="4"/>
        </w:numPr>
        <w:ind w:firstLineChars="0"/>
        <w:jc w:val="center"/>
        <w:outlineLvl w:val="0"/>
        <w:rPr>
          <w:rFonts w:ascii="宋体" w:hAnsi="宋体" w:eastAsia="宋体" w:cs="仿宋"/>
          <w:b/>
          <w:bCs/>
          <w:sz w:val="28"/>
          <w:szCs w:val="28"/>
        </w:rPr>
      </w:pPr>
      <w:bookmarkStart w:id="10" w:name="_Toc54795953"/>
      <w:r>
        <w:rPr>
          <w:rFonts w:hint="eastAsia" w:ascii="宋体" w:hAnsi="宋体" w:eastAsia="宋体" w:cs="仿宋"/>
          <w:b/>
          <w:bCs/>
          <w:sz w:val="28"/>
          <w:szCs w:val="28"/>
        </w:rPr>
        <w:t>信用查询截图</w:t>
      </w:r>
      <w:bookmarkEnd w:id="10"/>
    </w:p>
    <w:p>
      <w:pPr>
        <w:pStyle w:val="22"/>
        <w:numPr>
          <w:ilvl w:val="0"/>
          <w:numId w:val="5"/>
        </w:numPr>
        <w:ind w:firstLineChars="0"/>
        <w:outlineLvl w:val="0"/>
        <w:rPr>
          <w:rFonts w:ascii="宋体" w:hAnsi="宋体"/>
          <w:b w:val="0"/>
          <w:bCs w:val="0"/>
          <w:sz w:val="28"/>
          <w:szCs w:val="28"/>
        </w:rPr>
      </w:pPr>
      <w:bookmarkStart w:id="11" w:name="_Toc54795954"/>
      <w:r>
        <w:rPr>
          <w:rFonts w:hint="eastAsia" w:ascii="宋体" w:hAnsi="宋体"/>
          <w:b w:val="0"/>
          <w:bCs w:val="0"/>
          <w:sz w:val="28"/>
          <w:szCs w:val="28"/>
        </w:rPr>
        <w:t>近三年经营活动中无重大违法违纪记录的声明</w:t>
      </w:r>
      <w:bookmarkEnd w:id="11"/>
    </w:p>
    <w:p>
      <w:pPr>
        <w:pStyle w:val="22"/>
        <w:numPr>
          <w:ilvl w:val="0"/>
          <w:numId w:val="5"/>
        </w:numPr>
        <w:ind w:firstLineChars="0"/>
        <w:outlineLvl w:val="0"/>
        <w:rPr>
          <w:rFonts w:ascii="宋体" w:hAnsi="宋体"/>
          <w:b w:val="0"/>
          <w:bCs w:val="0"/>
          <w:sz w:val="28"/>
          <w:szCs w:val="28"/>
        </w:rPr>
      </w:pPr>
      <w:bookmarkStart w:id="12" w:name="_Toc54795955"/>
      <w:r>
        <w:rPr>
          <w:rFonts w:hint="eastAsia" w:ascii="宋体" w:hAnsi="宋体"/>
          <w:b w:val="0"/>
          <w:bCs w:val="0"/>
          <w:sz w:val="28"/>
          <w:szCs w:val="28"/>
        </w:rPr>
        <w:t>“信用中国”网站查询结果截图</w:t>
      </w:r>
      <w:bookmarkEnd w:id="12"/>
    </w:p>
    <w:p>
      <w:pPr>
        <w:widowControl/>
        <w:jc w:val="left"/>
        <w:rPr>
          <w:rFonts w:ascii="宋体" w:hAnsi="宋体"/>
          <w:b/>
          <w:bCs/>
          <w:sz w:val="28"/>
          <w:szCs w:val="28"/>
        </w:rPr>
      </w:pPr>
      <w:r>
        <w:rPr>
          <w:rFonts w:ascii="宋体" w:hAnsi="宋体"/>
          <w:b/>
          <w:bCs/>
          <w:sz w:val="28"/>
          <w:szCs w:val="28"/>
        </w:rPr>
        <w:br w:type="page"/>
      </w:r>
    </w:p>
    <w:p>
      <w:pPr>
        <w:pStyle w:val="22"/>
        <w:numPr>
          <w:ilvl w:val="0"/>
          <w:numId w:val="4"/>
        </w:numPr>
        <w:ind w:firstLineChars="0"/>
        <w:jc w:val="center"/>
        <w:outlineLvl w:val="0"/>
        <w:rPr>
          <w:rFonts w:ascii="宋体" w:hAnsi="宋体" w:eastAsia="宋体" w:cs="仿宋"/>
          <w:b/>
          <w:bCs/>
          <w:sz w:val="28"/>
          <w:szCs w:val="28"/>
        </w:rPr>
      </w:pPr>
      <w:bookmarkStart w:id="13" w:name="_Toc54795956"/>
      <w:r>
        <w:rPr>
          <w:rFonts w:hint="eastAsia" w:ascii="宋体" w:hAnsi="宋体" w:cs="仿宋"/>
          <w:b/>
          <w:bCs/>
          <w:sz w:val="28"/>
          <w:szCs w:val="28"/>
          <w:lang w:eastAsia="zh-CN"/>
        </w:rPr>
        <w:t>运营维护</w:t>
      </w:r>
      <w:r>
        <w:rPr>
          <w:rFonts w:hint="eastAsia" w:ascii="宋体" w:hAnsi="宋体" w:eastAsia="宋体" w:cs="仿宋"/>
          <w:b/>
          <w:bCs/>
          <w:sz w:val="28"/>
          <w:szCs w:val="28"/>
        </w:rPr>
        <w:t>方案</w:t>
      </w:r>
      <w:bookmarkEnd w:id="13"/>
    </w:p>
    <w:p>
      <w:pPr>
        <w:ind w:firstLine="560" w:firstLineChars="200"/>
        <w:rPr>
          <w:rFonts w:hint="eastAsia"/>
          <w:sz w:val="28"/>
          <w:szCs w:val="28"/>
          <w:lang w:eastAsia="zh-CN"/>
        </w:rPr>
      </w:pPr>
      <w:r>
        <w:rPr>
          <w:rFonts w:hint="eastAsia"/>
          <w:sz w:val="28"/>
          <w:szCs w:val="28"/>
          <w:lang w:eastAsia="zh-CN"/>
        </w:rPr>
        <w:t>项目运营维护方案应明确运营技术要求、项目人员配备、应急维护措施、模块更新完善等内容。</w:t>
      </w:r>
    </w:p>
    <w:p/>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ind w:left="0" w:leftChars="0" w:firstLine="0" w:firstLineChars="0"/>
        <w:rPr>
          <w:rFonts w:hint="eastAsia"/>
          <w:lang w:eastAsia="zh-CN"/>
        </w:rPr>
      </w:pPr>
    </w:p>
    <w:p>
      <w:pPr>
        <w:pStyle w:val="17"/>
        <w:ind w:left="0" w:leftChars="0" w:firstLine="0" w:firstLineChars="0"/>
        <w:rPr>
          <w:rFonts w:hint="eastAsia"/>
          <w:lang w:eastAsia="zh-CN"/>
        </w:rPr>
      </w:pPr>
    </w:p>
    <w:p>
      <w:pPr>
        <w:pStyle w:val="17"/>
        <w:ind w:left="0" w:leftChars="0" w:firstLine="0" w:firstLineChars="0"/>
        <w:rPr>
          <w:rFonts w:hint="eastAsia"/>
          <w:lang w:eastAsia="zh-CN"/>
        </w:rPr>
      </w:pPr>
    </w:p>
    <w:p>
      <w:pPr>
        <w:pStyle w:val="17"/>
        <w:ind w:left="0" w:leftChars="0" w:firstLine="0" w:firstLineChars="0"/>
        <w:jc w:val="center"/>
        <w:rPr>
          <w:rFonts w:hint="eastAsia" w:eastAsia="宋体"/>
          <w:lang w:eastAsia="zh-CN"/>
        </w:rPr>
      </w:pPr>
      <w:r>
        <w:rPr>
          <w:rFonts w:hint="eastAsia"/>
          <w:lang w:eastAsia="zh-CN"/>
        </w:rPr>
        <w:t>比选评分表</w:t>
      </w:r>
    </w:p>
    <w:p>
      <w:pPr>
        <w:pStyle w:val="17"/>
      </w:pPr>
    </w:p>
    <w:tbl>
      <w:tblPr>
        <w:tblStyle w:val="13"/>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677"/>
        <w:gridCol w:w="1114"/>
        <w:gridCol w:w="3517"/>
        <w:gridCol w:w="700"/>
        <w:gridCol w:w="884"/>
        <w:gridCol w:w="68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344" w:type="dxa"/>
            <w:vMerge w:val="restart"/>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677" w:type="dxa"/>
            <w:vMerge w:val="restart"/>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比选项目</w:t>
            </w:r>
          </w:p>
        </w:tc>
        <w:tc>
          <w:tcPr>
            <w:tcW w:w="1114" w:type="dxa"/>
            <w:vMerge w:val="restart"/>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标准分</w:t>
            </w:r>
          </w:p>
        </w:tc>
        <w:tc>
          <w:tcPr>
            <w:tcW w:w="3517" w:type="dxa"/>
            <w:vMerge w:val="restart"/>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评分标准</w:t>
            </w:r>
          </w:p>
        </w:tc>
        <w:tc>
          <w:tcPr>
            <w:tcW w:w="700" w:type="dxa"/>
            <w:vMerge w:val="restart"/>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分值</w:t>
            </w:r>
          </w:p>
        </w:tc>
        <w:tc>
          <w:tcPr>
            <w:tcW w:w="2300" w:type="dxa"/>
            <w:gridSpan w:val="3"/>
            <w:noWrap w:val="0"/>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参选单位</w:t>
            </w:r>
            <w:r>
              <w:rPr>
                <w:rFonts w:hint="eastAsia" w:ascii="仿宋" w:hAnsi="仿宋" w:eastAsia="仿宋" w:cs="仿宋"/>
                <w:sz w:val="18"/>
                <w:szCs w:val="18"/>
                <w:vertAlign w:val="baseline"/>
                <w:lang w:eastAsia="zh-CN"/>
              </w:rPr>
              <w:t>（名称可简写）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344" w:type="dxa"/>
            <w:vMerge w:val="continue"/>
            <w:noWrap w:val="0"/>
            <w:vAlign w:val="center"/>
          </w:tcPr>
          <w:p>
            <w:pPr>
              <w:jc w:val="center"/>
            </w:pPr>
          </w:p>
        </w:tc>
        <w:tc>
          <w:tcPr>
            <w:tcW w:w="677" w:type="dxa"/>
            <w:vMerge w:val="continue"/>
            <w:noWrap w:val="0"/>
            <w:vAlign w:val="center"/>
          </w:tcPr>
          <w:p>
            <w:pPr>
              <w:jc w:val="center"/>
            </w:pPr>
          </w:p>
        </w:tc>
        <w:tc>
          <w:tcPr>
            <w:tcW w:w="1114" w:type="dxa"/>
            <w:vMerge w:val="continue"/>
            <w:noWrap w:val="0"/>
            <w:vAlign w:val="center"/>
          </w:tcPr>
          <w:p>
            <w:pPr>
              <w:jc w:val="center"/>
            </w:pPr>
          </w:p>
        </w:tc>
        <w:tc>
          <w:tcPr>
            <w:tcW w:w="3517" w:type="dxa"/>
            <w:vMerge w:val="continue"/>
            <w:noWrap w:val="0"/>
            <w:vAlign w:val="center"/>
          </w:tcPr>
          <w:p>
            <w:pPr>
              <w:jc w:val="center"/>
            </w:pPr>
          </w:p>
        </w:tc>
        <w:tc>
          <w:tcPr>
            <w:tcW w:w="700" w:type="dxa"/>
            <w:vMerge w:val="continue"/>
            <w:noWrap w:val="0"/>
            <w:vAlign w:val="center"/>
          </w:tcPr>
          <w:p>
            <w:pPr>
              <w:jc w:val="center"/>
            </w:pPr>
          </w:p>
        </w:tc>
        <w:tc>
          <w:tcPr>
            <w:tcW w:w="884" w:type="dxa"/>
            <w:noWrap w:val="0"/>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 </w:t>
            </w:r>
          </w:p>
        </w:tc>
        <w:tc>
          <w:tcPr>
            <w:tcW w:w="683" w:type="dxa"/>
            <w:noWrap w:val="0"/>
            <w:vAlign w:val="center"/>
          </w:tcPr>
          <w:p>
            <w:pPr>
              <w:jc w:val="center"/>
              <w:rPr>
                <w:rFonts w:hint="eastAsia" w:ascii="仿宋_GB2312" w:hAnsi="仿宋_GB2312" w:eastAsia="仿宋_GB2312" w:cs="仿宋_GB2312"/>
                <w:sz w:val="24"/>
                <w:szCs w:val="24"/>
                <w:lang w:val="en-US" w:eastAsia="zh-CN"/>
              </w:rPr>
            </w:pPr>
          </w:p>
        </w:tc>
        <w:tc>
          <w:tcPr>
            <w:tcW w:w="733" w:type="dxa"/>
            <w:noWrap w:val="0"/>
            <w:vAlign w:val="center"/>
          </w:tcPr>
          <w:p>
            <w:pPr>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344" w:type="dxa"/>
            <w:vMerge w:val="restar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77" w:type="dxa"/>
            <w:vMerge w:val="restart"/>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综合部分</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20分</w:t>
            </w:r>
            <w:r>
              <w:rPr>
                <w:rFonts w:hint="eastAsia" w:ascii="仿宋" w:hAnsi="仿宋" w:eastAsia="仿宋" w:cs="仿宋"/>
                <w:sz w:val="24"/>
                <w:szCs w:val="24"/>
                <w:vertAlign w:val="baseline"/>
                <w:lang w:eastAsia="zh-CN"/>
              </w:rPr>
              <w:t>）</w:t>
            </w:r>
          </w:p>
        </w:tc>
        <w:tc>
          <w:tcPr>
            <w:tcW w:w="111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机构资质</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5分</w:t>
            </w:r>
            <w:r>
              <w:rPr>
                <w:rFonts w:hint="eastAsia" w:ascii="仿宋" w:hAnsi="仿宋" w:eastAsia="仿宋" w:cs="仿宋"/>
                <w:sz w:val="24"/>
                <w:szCs w:val="24"/>
                <w:vertAlign w:val="baseline"/>
                <w:lang w:eastAsia="zh-CN"/>
              </w:rPr>
              <w:t>）</w:t>
            </w:r>
          </w:p>
        </w:tc>
        <w:tc>
          <w:tcPr>
            <w:tcW w:w="3517" w:type="dxa"/>
            <w:noWrap w:val="0"/>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根据投标人提供的资质证明材料齐全程度进行综合打分；</w:t>
            </w:r>
          </w:p>
        </w:tc>
        <w:tc>
          <w:tcPr>
            <w:tcW w:w="700"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w:t>
            </w:r>
          </w:p>
        </w:tc>
        <w:tc>
          <w:tcPr>
            <w:tcW w:w="884" w:type="dxa"/>
            <w:noWrap w:val="0"/>
            <w:vAlign w:val="center"/>
          </w:tcPr>
          <w:p>
            <w:pPr>
              <w:jc w:val="center"/>
              <w:rPr>
                <w:rFonts w:hint="eastAsia" w:ascii="仿宋" w:hAnsi="仿宋" w:eastAsia="仿宋" w:cs="仿宋"/>
                <w:sz w:val="28"/>
                <w:szCs w:val="28"/>
                <w:vertAlign w:val="baseline"/>
                <w:lang w:eastAsia="zh-CN"/>
              </w:rPr>
            </w:pPr>
          </w:p>
        </w:tc>
        <w:tc>
          <w:tcPr>
            <w:tcW w:w="683" w:type="dxa"/>
            <w:noWrap w:val="0"/>
            <w:vAlign w:val="center"/>
          </w:tcPr>
          <w:p>
            <w:pPr>
              <w:jc w:val="center"/>
              <w:rPr>
                <w:rFonts w:hint="eastAsia" w:ascii="仿宋" w:hAnsi="仿宋" w:eastAsia="仿宋" w:cs="仿宋"/>
                <w:sz w:val="28"/>
                <w:szCs w:val="28"/>
                <w:vertAlign w:val="baseline"/>
                <w:lang w:eastAsia="zh-CN"/>
              </w:rPr>
            </w:pPr>
          </w:p>
        </w:tc>
        <w:tc>
          <w:tcPr>
            <w:tcW w:w="733" w:type="dxa"/>
            <w:noWrap w:val="0"/>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344" w:type="dxa"/>
            <w:vMerge w:val="continue"/>
            <w:noWrap w:val="0"/>
            <w:vAlign w:val="center"/>
          </w:tcPr>
          <w:p>
            <w:pPr>
              <w:jc w:val="center"/>
              <w:rPr>
                <w:sz w:val="24"/>
                <w:szCs w:val="24"/>
              </w:rPr>
            </w:pPr>
          </w:p>
        </w:tc>
        <w:tc>
          <w:tcPr>
            <w:tcW w:w="677" w:type="dxa"/>
            <w:vMerge w:val="continue"/>
            <w:noWrap w:val="0"/>
            <w:vAlign w:val="center"/>
          </w:tcPr>
          <w:p>
            <w:pPr>
              <w:jc w:val="center"/>
              <w:rPr>
                <w:sz w:val="24"/>
                <w:szCs w:val="24"/>
              </w:rPr>
            </w:pPr>
          </w:p>
        </w:tc>
        <w:tc>
          <w:tcPr>
            <w:tcW w:w="111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综合业绩</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15分</w:t>
            </w:r>
            <w:r>
              <w:rPr>
                <w:rFonts w:hint="eastAsia" w:ascii="仿宋" w:hAnsi="仿宋" w:eastAsia="仿宋" w:cs="仿宋"/>
                <w:sz w:val="24"/>
                <w:szCs w:val="24"/>
                <w:vertAlign w:val="baseline"/>
                <w:lang w:eastAsia="zh-CN"/>
              </w:rPr>
              <w:t>）</w:t>
            </w:r>
          </w:p>
        </w:tc>
        <w:tc>
          <w:tcPr>
            <w:tcW w:w="3517" w:type="dxa"/>
            <w:noWrap w:val="0"/>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根据投标人近三年同类项目实施成功案例，每提供1个有效业绩得</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eastAsia="zh-CN"/>
              </w:rPr>
              <w:t>分，最多得</w:t>
            </w:r>
            <w:r>
              <w:rPr>
                <w:rFonts w:hint="eastAsia" w:ascii="仿宋" w:hAnsi="仿宋" w:eastAsia="仿宋" w:cs="仿宋"/>
                <w:sz w:val="24"/>
                <w:szCs w:val="24"/>
                <w:vertAlign w:val="baseline"/>
                <w:lang w:val="en-US" w:eastAsia="zh-CN"/>
              </w:rPr>
              <w:t>15</w:t>
            </w:r>
            <w:r>
              <w:rPr>
                <w:rFonts w:hint="eastAsia" w:ascii="仿宋" w:hAnsi="仿宋" w:eastAsia="仿宋" w:cs="仿宋"/>
                <w:sz w:val="24"/>
                <w:szCs w:val="24"/>
                <w:vertAlign w:val="baseline"/>
                <w:lang w:eastAsia="zh-CN"/>
              </w:rPr>
              <w:t>分；</w:t>
            </w:r>
          </w:p>
        </w:tc>
        <w:tc>
          <w:tcPr>
            <w:tcW w:w="700"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0~15</w:t>
            </w:r>
          </w:p>
        </w:tc>
        <w:tc>
          <w:tcPr>
            <w:tcW w:w="884" w:type="dxa"/>
            <w:noWrap w:val="0"/>
            <w:vAlign w:val="center"/>
          </w:tcPr>
          <w:p>
            <w:pPr>
              <w:jc w:val="center"/>
              <w:rPr>
                <w:rFonts w:hint="eastAsia" w:ascii="仿宋" w:hAnsi="仿宋" w:eastAsia="仿宋" w:cs="仿宋"/>
                <w:sz w:val="28"/>
                <w:szCs w:val="28"/>
                <w:vertAlign w:val="baseline"/>
                <w:lang w:eastAsia="zh-CN"/>
              </w:rPr>
            </w:pPr>
          </w:p>
        </w:tc>
        <w:tc>
          <w:tcPr>
            <w:tcW w:w="683" w:type="dxa"/>
            <w:noWrap w:val="0"/>
            <w:vAlign w:val="center"/>
          </w:tcPr>
          <w:p>
            <w:pPr>
              <w:jc w:val="center"/>
              <w:rPr>
                <w:rFonts w:hint="eastAsia" w:ascii="仿宋" w:hAnsi="仿宋" w:eastAsia="仿宋" w:cs="仿宋"/>
                <w:sz w:val="28"/>
                <w:szCs w:val="28"/>
                <w:vertAlign w:val="baseline"/>
                <w:lang w:eastAsia="zh-CN"/>
              </w:rPr>
            </w:pPr>
          </w:p>
        </w:tc>
        <w:tc>
          <w:tcPr>
            <w:tcW w:w="733" w:type="dxa"/>
            <w:noWrap w:val="0"/>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344" w:type="dxa"/>
            <w:vMerge w:val="restart"/>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77" w:type="dxa"/>
            <w:vMerge w:val="restart"/>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投标方案</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部分（</w:t>
            </w:r>
            <w:r>
              <w:rPr>
                <w:rFonts w:hint="eastAsia" w:ascii="仿宋" w:hAnsi="仿宋" w:eastAsia="仿宋" w:cs="仿宋"/>
                <w:sz w:val="24"/>
                <w:szCs w:val="24"/>
                <w:vertAlign w:val="baseline"/>
                <w:lang w:val="en-US" w:eastAsia="zh-CN"/>
              </w:rPr>
              <w:t>70分</w:t>
            </w:r>
            <w:r>
              <w:rPr>
                <w:rFonts w:hint="eastAsia" w:ascii="仿宋" w:hAnsi="仿宋" w:eastAsia="仿宋" w:cs="仿宋"/>
                <w:sz w:val="24"/>
                <w:szCs w:val="24"/>
                <w:vertAlign w:val="baseline"/>
                <w:lang w:eastAsia="zh-CN"/>
              </w:rPr>
              <w:t>）</w:t>
            </w:r>
          </w:p>
        </w:tc>
        <w:tc>
          <w:tcPr>
            <w:tcW w:w="1114"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技术保证</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20分</w:t>
            </w:r>
            <w:r>
              <w:rPr>
                <w:rFonts w:hint="eastAsia" w:ascii="仿宋" w:hAnsi="仿宋" w:eastAsia="仿宋" w:cs="仿宋"/>
                <w:sz w:val="24"/>
                <w:szCs w:val="24"/>
                <w:vertAlign w:val="baseline"/>
                <w:lang w:eastAsia="zh-CN"/>
              </w:rPr>
              <w:t>）</w:t>
            </w:r>
          </w:p>
        </w:tc>
        <w:tc>
          <w:tcPr>
            <w:tcW w:w="3517" w:type="dxa"/>
            <w:noWrap w:val="0"/>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根据投标人提供的管理制度、人员配备、技术保证措施进行综合评审；</w:t>
            </w:r>
          </w:p>
        </w:tc>
        <w:tc>
          <w:tcPr>
            <w:tcW w:w="700"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0~20</w:t>
            </w:r>
          </w:p>
        </w:tc>
        <w:tc>
          <w:tcPr>
            <w:tcW w:w="884" w:type="dxa"/>
            <w:noWrap w:val="0"/>
            <w:vAlign w:val="center"/>
          </w:tcPr>
          <w:p>
            <w:pPr>
              <w:jc w:val="center"/>
              <w:rPr>
                <w:rFonts w:hint="eastAsia" w:ascii="仿宋" w:hAnsi="仿宋" w:eastAsia="仿宋" w:cs="仿宋"/>
                <w:sz w:val="28"/>
                <w:szCs w:val="28"/>
                <w:vertAlign w:val="baseline"/>
                <w:lang w:eastAsia="zh-CN"/>
              </w:rPr>
            </w:pPr>
          </w:p>
        </w:tc>
        <w:tc>
          <w:tcPr>
            <w:tcW w:w="683" w:type="dxa"/>
            <w:noWrap w:val="0"/>
            <w:vAlign w:val="center"/>
          </w:tcPr>
          <w:p>
            <w:pPr>
              <w:jc w:val="center"/>
              <w:rPr>
                <w:rFonts w:hint="eastAsia" w:ascii="仿宋" w:hAnsi="仿宋" w:eastAsia="仿宋" w:cs="仿宋"/>
                <w:sz w:val="28"/>
                <w:szCs w:val="28"/>
                <w:vertAlign w:val="baseline"/>
                <w:lang w:eastAsia="zh-CN"/>
              </w:rPr>
            </w:pPr>
          </w:p>
        </w:tc>
        <w:tc>
          <w:tcPr>
            <w:tcW w:w="733" w:type="dxa"/>
            <w:noWrap w:val="0"/>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344" w:type="dxa"/>
            <w:vMerge w:val="continue"/>
            <w:noWrap w:val="0"/>
            <w:vAlign w:val="center"/>
          </w:tcPr>
          <w:p>
            <w:pPr>
              <w:jc w:val="center"/>
              <w:rPr>
                <w:sz w:val="24"/>
                <w:szCs w:val="24"/>
              </w:rPr>
            </w:pPr>
          </w:p>
        </w:tc>
        <w:tc>
          <w:tcPr>
            <w:tcW w:w="677" w:type="dxa"/>
            <w:vMerge w:val="continue"/>
            <w:noWrap w:val="0"/>
            <w:vAlign w:val="center"/>
          </w:tcPr>
          <w:p>
            <w:pPr>
              <w:jc w:val="center"/>
              <w:rPr>
                <w:sz w:val="24"/>
                <w:szCs w:val="24"/>
              </w:rPr>
            </w:pPr>
          </w:p>
        </w:tc>
        <w:tc>
          <w:tcPr>
            <w:tcW w:w="111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实施方案</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30分</w:t>
            </w:r>
            <w:r>
              <w:rPr>
                <w:rFonts w:hint="eastAsia" w:ascii="仿宋" w:hAnsi="仿宋" w:eastAsia="仿宋" w:cs="仿宋"/>
                <w:sz w:val="24"/>
                <w:szCs w:val="24"/>
                <w:vertAlign w:val="baseline"/>
                <w:lang w:eastAsia="zh-CN"/>
              </w:rPr>
              <w:t>）</w:t>
            </w:r>
          </w:p>
        </w:tc>
        <w:tc>
          <w:tcPr>
            <w:tcW w:w="3517" w:type="dxa"/>
            <w:noWrap w:val="0"/>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对投标人提供实施方案、技术要求、拟派负责本项目的主管经理、项目实施工作人员配备进行综合评审；</w:t>
            </w:r>
          </w:p>
        </w:tc>
        <w:tc>
          <w:tcPr>
            <w:tcW w:w="700"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0~30</w:t>
            </w:r>
          </w:p>
        </w:tc>
        <w:tc>
          <w:tcPr>
            <w:tcW w:w="884" w:type="dxa"/>
            <w:noWrap w:val="0"/>
            <w:vAlign w:val="center"/>
          </w:tcPr>
          <w:p>
            <w:pPr>
              <w:jc w:val="center"/>
              <w:rPr>
                <w:rFonts w:hint="eastAsia" w:ascii="仿宋" w:hAnsi="仿宋" w:eastAsia="仿宋" w:cs="仿宋"/>
                <w:sz w:val="28"/>
                <w:szCs w:val="28"/>
                <w:vertAlign w:val="baseline"/>
                <w:lang w:eastAsia="zh-CN"/>
              </w:rPr>
            </w:pPr>
          </w:p>
        </w:tc>
        <w:tc>
          <w:tcPr>
            <w:tcW w:w="683" w:type="dxa"/>
            <w:noWrap w:val="0"/>
            <w:vAlign w:val="center"/>
          </w:tcPr>
          <w:p>
            <w:pPr>
              <w:jc w:val="center"/>
              <w:rPr>
                <w:rFonts w:hint="eastAsia" w:ascii="仿宋" w:hAnsi="仿宋" w:eastAsia="仿宋" w:cs="仿宋"/>
                <w:sz w:val="28"/>
                <w:szCs w:val="28"/>
                <w:vertAlign w:val="baseline"/>
                <w:lang w:eastAsia="zh-CN"/>
              </w:rPr>
            </w:pPr>
          </w:p>
        </w:tc>
        <w:tc>
          <w:tcPr>
            <w:tcW w:w="733" w:type="dxa"/>
            <w:noWrap w:val="0"/>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344" w:type="dxa"/>
            <w:vMerge w:val="continue"/>
            <w:noWrap w:val="0"/>
            <w:vAlign w:val="center"/>
          </w:tcPr>
          <w:p>
            <w:pPr>
              <w:jc w:val="center"/>
              <w:rPr>
                <w:rFonts w:hint="eastAsia" w:ascii="仿宋" w:hAnsi="仿宋" w:eastAsia="仿宋" w:cs="仿宋"/>
                <w:sz w:val="24"/>
                <w:szCs w:val="24"/>
                <w:vertAlign w:val="baseline"/>
                <w:lang w:eastAsia="zh-CN"/>
              </w:rPr>
            </w:pPr>
          </w:p>
        </w:tc>
        <w:tc>
          <w:tcPr>
            <w:tcW w:w="677" w:type="dxa"/>
            <w:vMerge w:val="continue"/>
            <w:noWrap w:val="0"/>
            <w:vAlign w:val="center"/>
          </w:tcPr>
          <w:p>
            <w:pPr>
              <w:jc w:val="center"/>
              <w:rPr>
                <w:rFonts w:hint="eastAsia" w:ascii="仿宋" w:hAnsi="仿宋" w:eastAsia="仿宋" w:cs="仿宋"/>
                <w:sz w:val="24"/>
                <w:szCs w:val="24"/>
                <w:vertAlign w:val="baseline"/>
                <w:lang w:eastAsia="zh-CN"/>
              </w:rPr>
            </w:pPr>
          </w:p>
        </w:tc>
        <w:tc>
          <w:tcPr>
            <w:tcW w:w="111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运营及维保（</w:t>
            </w:r>
            <w:r>
              <w:rPr>
                <w:rFonts w:hint="eastAsia" w:ascii="仿宋" w:hAnsi="仿宋" w:eastAsia="仿宋" w:cs="仿宋"/>
                <w:sz w:val="24"/>
                <w:szCs w:val="24"/>
                <w:vertAlign w:val="baseline"/>
                <w:lang w:val="en-US" w:eastAsia="zh-CN"/>
              </w:rPr>
              <w:t>20分</w:t>
            </w:r>
            <w:r>
              <w:rPr>
                <w:rFonts w:hint="eastAsia" w:ascii="仿宋" w:hAnsi="仿宋" w:eastAsia="仿宋" w:cs="仿宋"/>
                <w:sz w:val="24"/>
                <w:szCs w:val="24"/>
                <w:vertAlign w:val="baseline"/>
                <w:lang w:eastAsia="zh-CN"/>
              </w:rPr>
              <w:t>）</w:t>
            </w:r>
          </w:p>
        </w:tc>
        <w:tc>
          <w:tcPr>
            <w:tcW w:w="3517" w:type="dxa"/>
            <w:noWrap w:val="0"/>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根据投标人提供的项目实施后维护服务、应急措施、人员安排等进行综合评审；</w:t>
            </w:r>
          </w:p>
        </w:tc>
        <w:tc>
          <w:tcPr>
            <w:tcW w:w="700"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0~20</w:t>
            </w:r>
          </w:p>
        </w:tc>
        <w:tc>
          <w:tcPr>
            <w:tcW w:w="884" w:type="dxa"/>
            <w:noWrap w:val="0"/>
            <w:vAlign w:val="center"/>
          </w:tcPr>
          <w:p>
            <w:pPr>
              <w:jc w:val="center"/>
              <w:rPr>
                <w:rFonts w:hint="eastAsia" w:ascii="仿宋" w:hAnsi="仿宋" w:eastAsia="仿宋" w:cs="仿宋"/>
                <w:sz w:val="28"/>
                <w:szCs w:val="28"/>
                <w:vertAlign w:val="baseline"/>
                <w:lang w:eastAsia="zh-CN"/>
              </w:rPr>
            </w:pPr>
          </w:p>
        </w:tc>
        <w:tc>
          <w:tcPr>
            <w:tcW w:w="683" w:type="dxa"/>
            <w:noWrap w:val="0"/>
            <w:vAlign w:val="center"/>
          </w:tcPr>
          <w:p>
            <w:pPr>
              <w:jc w:val="center"/>
              <w:rPr>
                <w:rFonts w:hint="eastAsia" w:ascii="仿宋" w:hAnsi="仿宋" w:eastAsia="仿宋" w:cs="仿宋"/>
                <w:sz w:val="28"/>
                <w:szCs w:val="28"/>
                <w:vertAlign w:val="baseline"/>
                <w:lang w:eastAsia="zh-CN"/>
              </w:rPr>
            </w:pPr>
          </w:p>
        </w:tc>
        <w:tc>
          <w:tcPr>
            <w:tcW w:w="733" w:type="dxa"/>
            <w:noWrap w:val="0"/>
            <w:vAlign w:val="center"/>
          </w:tcPr>
          <w:p>
            <w:pPr>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344"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7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投标报价</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1114"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报价</w:t>
            </w:r>
          </w:p>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10分</w:t>
            </w:r>
            <w:r>
              <w:rPr>
                <w:rFonts w:hint="eastAsia" w:ascii="仿宋" w:hAnsi="仿宋" w:eastAsia="仿宋" w:cs="仿宋"/>
                <w:sz w:val="24"/>
                <w:szCs w:val="24"/>
                <w:vertAlign w:val="baseline"/>
                <w:lang w:eastAsia="zh-CN"/>
              </w:rPr>
              <w:t>）</w:t>
            </w:r>
          </w:p>
        </w:tc>
        <w:tc>
          <w:tcPr>
            <w:tcW w:w="3517" w:type="dxa"/>
            <w:noWrap w:val="0"/>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评标基准价：满足招标文件要求且评审价格最低的价格为评标基准价；投标报价得分=（评标基准价/报送价格）*</w:t>
            </w:r>
            <w:r>
              <w:rPr>
                <w:rFonts w:hint="eastAsia" w:ascii="仿宋" w:hAnsi="仿宋" w:eastAsia="仿宋" w:cs="仿宋"/>
                <w:sz w:val="24"/>
                <w:szCs w:val="24"/>
                <w:vertAlign w:val="baseline"/>
                <w:lang w:val="en-US" w:eastAsia="zh-CN"/>
              </w:rPr>
              <w:t>10</w:t>
            </w:r>
          </w:p>
        </w:tc>
        <w:tc>
          <w:tcPr>
            <w:tcW w:w="700"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0~10</w:t>
            </w:r>
          </w:p>
        </w:tc>
        <w:tc>
          <w:tcPr>
            <w:tcW w:w="884" w:type="dxa"/>
            <w:noWrap w:val="0"/>
            <w:vAlign w:val="center"/>
          </w:tcPr>
          <w:p>
            <w:pPr>
              <w:jc w:val="center"/>
              <w:rPr>
                <w:rFonts w:hint="default" w:ascii="仿宋" w:hAnsi="仿宋" w:eastAsia="仿宋" w:cs="仿宋"/>
                <w:sz w:val="28"/>
                <w:szCs w:val="28"/>
                <w:vertAlign w:val="baseline"/>
                <w:lang w:val="en-US" w:eastAsia="zh-CN"/>
              </w:rPr>
            </w:pPr>
          </w:p>
        </w:tc>
        <w:tc>
          <w:tcPr>
            <w:tcW w:w="683" w:type="dxa"/>
            <w:noWrap w:val="0"/>
            <w:vAlign w:val="center"/>
          </w:tcPr>
          <w:p>
            <w:pPr>
              <w:jc w:val="center"/>
              <w:rPr>
                <w:rFonts w:hint="default" w:ascii="仿宋" w:hAnsi="仿宋" w:eastAsia="仿宋" w:cs="仿宋"/>
                <w:sz w:val="28"/>
                <w:szCs w:val="28"/>
                <w:vertAlign w:val="baseline"/>
                <w:lang w:val="en-US" w:eastAsia="zh-CN"/>
              </w:rPr>
            </w:pPr>
          </w:p>
        </w:tc>
        <w:tc>
          <w:tcPr>
            <w:tcW w:w="733" w:type="dxa"/>
            <w:noWrap w:val="0"/>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344"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77" w:type="dxa"/>
            <w:noWrap w:val="0"/>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合计</w:t>
            </w:r>
          </w:p>
        </w:tc>
        <w:tc>
          <w:tcPr>
            <w:tcW w:w="1114" w:type="dxa"/>
            <w:noWrap w:val="0"/>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100分</w:t>
            </w:r>
          </w:p>
        </w:tc>
        <w:tc>
          <w:tcPr>
            <w:tcW w:w="3517" w:type="dxa"/>
            <w:noWrap w:val="0"/>
            <w:vAlign w:val="center"/>
          </w:tcPr>
          <w:p>
            <w:pPr>
              <w:jc w:val="center"/>
              <w:rPr>
                <w:rFonts w:hint="eastAsia" w:ascii="仿宋" w:hAnsi="仿宋" w:eastAsia="仿宋" w:cs="仿宋"/>
                <w:sz w:val="28"/>
                <w:szCs w:val="28"/>
                <w:vertAlign w:val="baseline"/>
                <w:lang w:eastAsia="zh-CN"/>
              </w:rPr>
            </w:pPr>
          </w:p>
        </w:tc>
        <w:tc>
          <w:tcPr>
            <w:tcW w:w="700" w:type="dxa"/>
            <w:noWrap w:val="0"/>
            <w:vAlign w:val="center"/>
          </w:tcPr>
          <w:p>
            <w:pPr>
              <w:jc w:val="center"/>
              <w:rPr>
                <w:rFonts w:hint="eastAsia" w:ascii="仿宋" w:hAnsi="仿宋" w:eastAsia="仿宋" w:cs="仿宋"/>
                <w:sz w:val="24"/>
                <w:szCs w:val="24"/>
                <w:vertAlign w:val="baseline"/>
                <w:lang w:eastAsia="zh-CN"/>
              </w:rPr>
            </w:pPr>
          </w:p>
        </w:tc>
        <w:tc>
          <w:tcPr>
            <w:tcW w:w="884" w:type="dxa"/>
            <w:noWrap w:val="0"/>
            <w:vAlign w:val="center"/>
          </w:tcPr>
          <w:p>
            <w:pPr>
              <w:jc w:val="center"/>
              <w:rPr>
                <w:rFonts w:hint="eastAsia" w:ascii="仿宋" w:hAnsi="仿宋" w:eastAsia="仿宋" w:cs="仿宋"/>
                <w:sz w:val="28"/>
                <w:szCs w:val="28"/>
                <w:vertAlign w:val="baseline"/>
                <w:lang w:eastAsia="zh-CN"/>
              </w:rPr>
            </w:pPr>
          </w:p>
        </w:tc>
        <w:tc>
          <w:tcPr>
            <w:tcW w:w="683" w:type="dxa"/>
            <w:noWrap w:val="0"/>
            <w:vAlign w:val="center"/>
          </w:tcPr>
          <w:p>
            <w:pPr>
              <w:jc w:val="center"/>
              <w:rPr>
                <w:rFonts w:hint="eastAsia" w:ascii="仿宋" w:hAnsi="仿宋" w:eastAsia="仿宋" w:cs="仿宋"/>
                <w:sz w:val="28"/>
                <w:szCs w:val="28"/>
                <w:vertAlign w:val="baseline"/>
                <w:lang w:eastAsia="zh-CN"/>
              </w:rPr>
            </w:pPr>
          </w:p>
        </w:tc>
        <w:tc>
          <w:tcPr>
            <w:tcW w:w="733" w:type="dxa"/>
            <w:noWrap w:val="0"/>
            <w:vAlign w:val="center"/>
          </w:tcPr>
          <w:p>
            <w:pPr>
              <w:jc w:val="center"/>
              <w:rPr>
                <w:rFonts w:hint="eastAsia" w:ascii="仿宋" w:hAnsi="仿宋" w:eastAsia="仿宋" w:cs="仿宋"/>
                <w:sz w:val="28"/>
                <w:szCs w:val="28"/>
                <w:vertAlign w:val="baseline"/>
                <w:lang w:eastAsia="zh-CN"/>
              </w:rPr>
            </w:pPr>
          </w:p>
        </w:tc>
      </w:tr>
    </w:tbl>
    <w:p>
      <w:pPr>
        <w:pStyle w:val="17"/>
      </w:pPr>
    </w:p>
    <w:p>
      <w:pPr>
        <w:pStyle w:val="17"/>
      </w:pPr>
    </w:p>
    <w:p>
      <w:pPr>
        <w:pStyle w:val="17"/>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urier">
    <w:panose1 w:val="02060409020205020404"/>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E202"/>
    <w:multiLevelType w:val="singleLevel"/>
    <w:tmpl w:val="04A8E202"/>
    <w:lvl w:ilvl="0" w:tentative="0">
      <w:start w:val="4"/>
      <w:numFmt w:val="chineseCounting"/>
      <w:suff w:val="nothing"/>
      <w:lvlText w:val="%1、"/>
      <w:lvlJc w:val="left"/>
      <w:rPr>
        <w:rFonts w:hint="eastAsia"/>
      </w:rPr>
    </w:lvl>
  </w:abstractNum>
  <w:abstractNum w:abstractNumId="1">
    <w:nsid w:val="688D4F73"/>
    <w:multiLevelType w:val="singleLevel"/>
    <w:tmpl w:val="688D4F73"/>
    <w:lvl w:ilvl="0" w:tentative="0">
      <w:start w:val="1"/>
      <w:numFmt w:val="bullet"/>
      <w:lvlText w:val=""/>
      <w:lvlJc w:val="left"/>
      <w:pPr>
        <w:ind w:left="420" w:hanging="420"/>
      </w:pPr>
      <w:rPr>
        <w:rFonts w:hint="default" w:ascii="Wingdings" w:hAnsi="Wingdings"/>
      </w:rPr>
    </w:lvl>
  </w:abstractNum>
  <w:abstractNum w:abstractNumId="2">
    <w:nsid w:val="6E8C3B3E"/>
    <w:multiLevelType w:val="multilevel"/>
    <w:tmpl w:val="6E8C3B3E"/>
    <w:lvl w:ilvl="0" w:tentative="0">
      <w:start w:val="1"/>
      <w:numFmt w:val="decimal"/>
      <w:lvlText w:val="%1."/>
      <w:lvlJc w:val="left"/>
      <w:pPr>
        <w:ind w:left="1837" w:hanging="420"/>
      </w:pPr>
      <w:rPr>
        <w:rFonts w:hint="default" w:ascii="宋体" w:hAnsi="宋体" w:eastAsia="宋体" w:cs="仿宋"/>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3">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52314"/>
    <w:rsid w:val="00D63973"/>
    <w:rsid w:val="07CC6A81"/>
    <w:rsid w:val="0B0825B7"/>
    <w:rsid w:val="178224D1"/>
    <w:rsid w:val="17FD5C36"/>
    <w:rsid w:val="1F9DDFCA"/>
    <w:rsid w:val="1FB73CDC"/>
    <w:rsid w:val="26DFCFD2"/>
    <w:rsid w:val="2FAC30F8"/>
    <w:rsid w:val="2FFD013B"/>
    <w:rsid w:val="348225B1"/>
    <w:rsid w:val="3AEFE11E"/>
    <w:rsid w:val="3B7189D7"/>
    <w:rsid w:val="3FEFFA61"/>
    <w:rsid w:val="465F9103"/>
    <w:rsid w:val="46D70F74"/>
    <w:rsid w:val="4AED802B"/>
    <w:rsid w:val="4EFBDF4A"/>
    <w:rsid w:val="4F4F6BB7"/>
    <w:rsid w:val="4FFFCA83"/>
    <w:rsid w:val="52BC73C4"/>
    <w:rsid w:val="52CD8F02"/>
    <w:rsid w:val="537C5B72"/>
    <w:rsid w:val="56CFE441"/>
    <w:rsid w:val="57AB529B"/>
    <w:rsid w:val="57F97444"/>
    <w:rsid w:val="5BB9276A"/>
    <w:rsid w:val="5CBB314A"/>
    <w:rsid w:val="5D7F999A"/>
    <w:rsid w:val="5FDFEBE5"/>
    <w:rsid w:val="5FFB9F06"/>
    <w:rsid w:val="65352314"/>
    <w:rsid w:val="67778D53"/>
    <w:rsid w:val="6BE69B28"/>
    <w:rsid w:val="6DFD825E"/>
    <w:rsid w:val="6E4FD095"/>
    <w:rsid w:val="6EE5AD2F"/>
    <w:rsid w:val="715ED23D"/>
    <w:rsid w:val="775B4265"/>
    <w:rsid w:val="77D7255B"/>
    <w:rsid w:val="77DE682D"/>
    <w:rsid w:val="77F17684"/>
    <w:rsid w:val="77F371BD"/>
    <w:rsid w:val="77FEEF4A"/>
    <w:rsid w:val="786DA277"/>
    <w:rsid w:val="79CBC65A"/>
    <w:rsid w:val="7A7F2FEF"/>
    <w:rsid w:val="7AFE53B3"/>
    <w:rsid w:val="7B6732D1"/>
    <w:rsid w:val="7BA7CE17"/>
    <w:rsid w:val="7BDEDA5C"/>
    <w:rsid w:val="7BED09E5"/>
    <w:rsid w:val="7BFF2129"/>
    <w:rsid w:val="7DD30487"/>
    <w:rsid w:val="7DEF5FAF"/>
    <w:rsid w:val="7F3DB640"/>
    <w:rsid w:val="7FEE2492"/>
    <w:rsid w:val="7FF9ADEE"/>
    <w:rsid w:val="7FFF7A97"/>
    <w:rsid w:val="9757DEE4"/>
    <w:rsid w:val="9CB29C8E"/>
    <w:rsid w:val="AEFBFC86"/>
    <w:rsid w:val="B4F76A68"/>
    <w:rsid w:val="B5FCED4D"/>
    <w:rsid w:val="BABFE1AF"/>
    <w:rsid w:val="BC9BBEDB"/>
    <w:rsid w:val="BDAED3E6"/>
    <w:rsid w:val="BDDFE1C4"/>
    <w:rsid w:val="BDFE4596"/>
    <w:rsid w:val="BEEFAE84"/>
    <w:rsid w:val="BFB593D6"/>
    <w:rsid w:val="C3C101A6"/>
    <w:rsid w:val="CEB0E6BD"/>
    <w:rsid w:val="D033C1EE"/>
    <w:rsid w:val="D77B701C"/>
    <w:rsid w:val="DAFA8A5C"/>
    <w:rsid w:val="DF5D6805"/>
    <w:rsid w:val="DF7DE3A0"/>
    <w:rsid w:val="DFDFC664"/>
    <w:rsid w:val="E67E0FFF"/>
    <w:rsid w:val="E7BF72F8"/>
    <w:rsid w:val="E9AD14A3"/>
    <w:rsid w:val="EFB3BF23"/>
    <w:rsid w:val="EFDF3EE4"/>
    <w:rsid w:val="EFE25190"/>
    <w:rsid w:val="F3FFC477"/>
    <w:rsid w:val="F77F9683"/>
    <w:rsid w:val="F7BF27CE"/>
    <w:rsid w:val="F9B5BEE4"/>
    <w:rsid w:val="FBFF2F5C"/>
    <w:rsid w:val="FCF28BEE"/>
    <w:rsid w:val="FCFB49C4"/>
    <w:rsid w:val="FD93262B"/>
    <w:rsid w:val="FDB6F29B"/>
    <w:rsid w:val="FDBDCE8B"/>
    <w:rsid w:val="FE7D0919"/>
    <w:rsid w:val="FEF7D85A"/>
    <w:rsid w:val="FEFB845E"/>
    <w:rsid w:val="FF9D92B8"/>
    <w:rsid w:val="FFFBA4D9"/>
    <w:rsid w:val="FFFBF71B"/>
    <w:rsid w:val="FFFD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ind w:firstLine="0" w:firstLineChars="0"/>
      <w:outlineLvl w:val="1"/>
    </w:pPr>
    <w:rPr>
      <w:b/>
      <w:bCs/>
      <w:sz w:val="28"/>
      <w:szCs w:val="32"/>
    </w:rPr>
  </w:style>
  <w:style w:type="paragraph" w:styleId="4">
    <w:name w:val="heading 4"/>
    <w:basedOn w:val="1"/>
    <w:next w:val="1"/>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6"/>
    <w:qFormat/>
    <w:uiPriority w:val="99"/>
    <w:pPr>
      <w:spacing w:line="240" w:lineRule="auto"/>
      <w:ind w:firstLine="420"/>
    </w:pPr>
    <w:rPr>
      <w:rFonts w:cs="Times New Roman"/>
      <w:sz w:val="21"/>
      <w:szCs w:val="20"/>
    </w:rPr>
  </w:style>
  <w:style w:type="paragraph" w:customStyle="1" w:styleId="6">
    <w:name w:val="6-正文"/>
    <w:basedOn w:val="1"/>
    <w:qFormat/>
    <w:uiPriority w:val="0"/>
    <w:rPr>
      <w:szCs w:val="28"/>
    </w:rPr>
  </w:style>
  <w:style w:type="paragraph" w:styleId="7">
    <w:name w:val="Body Text"/>
    <w:basedOn w:val="1"/>
    <w:next w:val="8"/>
    <w:qFormat/>
    <w:uiPriority w:val="0"/>
    <w:pPr>
      <w:spacing w:before="0" w:after="140" w:line="276" w:lineRule="auto"/>
    </w:p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ind w:firstLine="200" w:firstLineChars="200"/>
    </w:pPr>
    <w:rPr>
      <w:rFonts w:ascii="宋体"/>
      <w:sz w:val="30"/>
      <w:szCs w:val="22"/>
    </w:rPr>
  </w:style>
  <w:style w:type="paragraph" w:styleId="10">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rPr>
      <w:rFonts w:ascii="Calibri" w:hAnsi="Calibri" w:eastAsia="宋体"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22"/>
    <w:rPr>
      <w:b/>
    </w:rPr>
  </w:style>
  <w:style w:type="character" w:styleId="16">
    <w:name w:val="Hyperlink"/>
    <w:basedOn w:val="14"/>
    <w:unhideWhenUsed/>
    <w:qFormat/>
    <w:uiPriority w:val="99"/>
    <w:rPr>
      <w:color w:val="0000FF"/>
      <w:u w:val="single"/>
    </w:rPr>
  </w:style>
  <w:style w:type="paragraph" w:customStyle="1" w:styleId="17">
    <w:name w:val="BodyText1I"/>
    <w:basedOn w:val="18"/>
    <w:qFormat/>
    <w:uiPriority w:val="0"/>
    <w:pPr>
      <w:ind w:firstLine="420" w:firstLineChars="100"/>
      <w:textAlignment w:val="baseline"/>
    </w:pPr>
    <w:rPr>
      <w:rFonts w:ascii="Calibri" w:hAnsi="Calibri"/>
      <w:sz w:val="30"/>
      <w:szCs w:val="20"/>
    </w:rPr>
  </w:style>
  <w:style w:type="paragraph" w:customStyle="1" w:styleId="18">
    <w:name w:val="BodyText"/>
    <w:basedOn w:val="1"/>
    <w:qFormat/>
    <w:uiPriority w:val="0"/>
    <w:pPr>
      <w:jc w:val="both"/>
      <w:textAlignment w:val="baseline"/>
    </w:pPr>
    <w:rPr>
      <w:rFonts w:ascii="Calibri" w:hAnsi="Calibri" w:eastAsia="宋体"/>
      <w:kern w:val="2"/>
      <w:sz w:val="30"/>
      <w:szCs w:val="20"/>
    </w:rPr>
  </w:style>
  <w:style w:type="paragraph" w:customStyle="1" w:styleId="19">
    <w:name w:val="p2"/>
    <w:basedOn w:val="1"/>
    <w:qFormat/>
    <w:uiPriority w:val="0"/>
    <w:pPr>
      <w:spacing w:line="520" w:lineRule="atLeast"/>
      <w:jc w:val="center"/>
    </w:pPr>
    <w:rPr>
      <w:rFonts w:ascii="Courier" w:hAnsi="Courier" w:cs="Times New Roman"/>
      <w:color w:val="000000"/>
      <w:kern w:val="0"/>
      <w:sz w:val="44"/>
      <w:szCs w:val="44"/>
    </w:rPr>
  </w:style>
  <w:style w:type="character" w:customStyle="1" w:styleId="20">
    <w:name w:val="s1"/>
    <w:qFormat/>
    <w:uiPriority w:val="0"/>
    <w:rPr>
      <w:rFonts w:hint="default" w:ascii="pingfang sc" w:hAnsi="pingfang sc" w:eastAsia="pingfang sc" w:cs="pingfang sc"/>
      <w:sz w:val="44"/>
      <w:szCs w:val="44"/>
    </w:rPr>
  </w:style>
  <w:style w:type="paragraph" w:customStyle="1" w:styleId="21">
    <w:name w:val="p8"/>
    <w:basedOn w:val="1"/>
    <w:qFormat/>
    <w:uiPriority w:val="0"/>
    <w:pPr>
      <w:spacing w:line="520" w:lineRule="atLeast"/>
    </w:pPr>
    <w:rPr>
      <w:rFonts w:ascii="pingfang sc" w:hAnsi="pingfang sc" w:eastAsia="pingfang sc" w:cs="Times New Roman"/>
      <w:color w:val="000000"/>
      <w:kern w:val="0"/>
      <w:sz w:val="32"/>
      <w:szCs w:val="32"/>
    </w:rPr>
  </w:style>
  <w:style w:type="paragraph" w:customStyle="1" w:styleId="22">
    <w:name w:val="List Paragraph"/>
    <w:basedOn w:val="1"/>
    <w:qFormat/>
    <w:uiPriority w:val="99"/>
    <w:pPr>
      <w:ind w:firstLine="420" w:firstLineChars="200"/>
    </w:p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2804</Words>
  <Characters>2912</Characters>
  <Lines>0</Lines>
  <Paragraphs>0</Paragraphs>
  <TotalTime>11</TotalTime>
  <ScaleCrop>false</ScaleCrop>
  <LinksUpToDate>false</LinksUpToDate>
  <CharactersWithSpaces>3096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2022-10-31T08:02:00Z</dcterms:created>
  <dc:creator>肖露</dc:creator>
  <cp:lastModifiedBy>杜紫藤love</cp:lastModifiedBy>
  <cp:lastPrinted>2022-11-01T06:27:00Z</cp:lastPrinted>
  <dcterms:modified xsi:type="dcterms:W3CDTF">2025-07-23T01:47:38Z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A5C32289385F4893A01F7A674253849D_13</vt:lpwstr>
  </property>
  <property fmtid="{D5CDD505-2E9C-101B-9397-08002B2CF9AE}" pid="4" name="KSOTemplateDocerSaveRecord">
    <vt:lpwstr>eyJoZGlkIjoiMGM3NzY2NzI4NTNiMTkzZDExNGJhYjlkMjdjYjBlNzkiLCJ1c2VySWQiOiIzODE5MTUxNDAifQ==</vt:lpwstr>
  </property>
</Properties>
</file>