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auto"/>
          <w:sz w:val="44"/>
          <w:szCs w:val="30"/>
          <w:highlight w:val="none"/>
        </w:rPr>
      </w:pPr>
    </w:p>
    <w:p>
      <w:pPr>
        <w:spacing w:line="360" w:lineRule="auto"/>
        <w:jc w:val="center"/>
        <w:rPr>
          <w:rFonts w:ascii="黑体" w:hAnsi="黑体" w:eastAsia="黑体"/>
          <w:b/>
          <w:color w:val="auto"/>
          <w:sz w:val="44"/>
          <w:szCs w:val="30"/>
          <w:highlight w:val="none"/>
        </w:rPr>
      </w:pPr>
    </w:p>
    <w:p>
      <w:pPr>
        <w:spacing w:line="360" w:lineRule="auto"/>
        <w:jc w:val="center"/>
        <w:rPr>
          <w:rFonts w:ascii="黑体" w:hAnsi="黑体" w:eastAsia="黑体"/>
          <w:b/>
          <w:color w:val="auto"/>
          <w:sz w:val="44"/>
          <w:szCs w:val="30"/>
          <w:highlight w:val="none"/>
        </w:rPr>
      </w:pPr>
    </w:p>
    <w:p>
      <w:pPr>
        <w:spacing w:line="360" w:lineRule="auto"/>
        <w:jc w:val="center"/>
        <w:rPr>
          <w:rFonts w:ascii="黑体" w:hAnsi="黑体" w:eastAsia="黑体"/>
          <w:b/>
          <w:color w:val="auto"/>
          <w:sz w:val="44"/>
          <w:szCs w:val="30"/>
          <w:highlight w:val="none"/>
        </w:rPr>
      </w:pPr>
    </w:p>
    <w:p>
      <w:pPr>
        <w:widowControl/>
        <w:jc w:val="center"/>
        <w:rPr>
          <w:rFonts w:ascii="黑体" w:hAnsi="黑体" w:eastAsia="黑体"/>
          <w:b/>
          <w:color w:val="auto"/>
          <w:sz w:val="72"/>
          <w:szCs w:val="72"/>
          <w:highlight w:val="none"/>
        </w:rPr>
      </w:pPr>
      <w:r>
        <w:rPr>
          <w:rFonts w:hint="eastAsia" w:ascii="方正小标宋简体" w:hAnsi="方正小标宋简体" w:eastAsia="方正小标宋简体" w:cs="方正小标宋简体"/>
          <w:bCs/>
          <w:color w:val="auto"/>
          <w:sz w:val="48"/>
          <w:szCs w:val="48"/>
          <w:highlight w:val="none"/>
        </w:rPr>
        <w:t>市政务服务数据资源管理平台(直达专区)政务云基础服务（资源）及云上其他相关服务项目</w:t>
      </w:r>
    </w:p>
    <w:p>
      <w:pPr>
        <w:widowControl/>
        <w:jc w:val="center"/>
        <w:rPr>
          <w:rFonts w:ascii="黑体" w:hAnsi="黑体" w:eastAsia="黑体"/>
          <w:bCs/>
          <w:color w:val="auto"/>
          <w:sz w:val="48"/>
          <w:szCs w:val="48"/>
          <w:highlight w:val="none"/>
        </w:rPr>
      </w:pPr>
      <w:r>
        <w:rPr>
          <w:rFonts w:hint="eastAsia" w:ascii="黑体" w:hAnsi="黑体" w:eastAsia="黑体"/>
          <w:bCs/>
          <w:color w:val="auto"/>
          <w:sz w:val="48"/>
          <w:szCs w:val="48"/>
          <w:highlight w:val="none"/>
        </w:rPr>
        <w:t>比选文件</w:t>
      </w: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jc w:val="center"/>
        <w:rPr>
          <w:rFonts w:ascii="黑体" w:hAnsi="黑体" w:eastAsia="黑体"/>
          <w:bCs/>
          <w:color w:val="auto"/>
          <w:sz w:val="48"/>
          <w:szCs w:val="48"/>
          <w:highlight w:val="none"/>
        </w:rPr>
      </w:pPr>
    </w:p>
    <w:p>
      <w:pPr>
        <w:widowControl/>
        <w:rPr>
          <w:rFonts w:ascii="黑体" w:hAnsi="黑体" w:eastAsia="黑体"/>
          <w:bCs/>
          <w:color w:val="auto"/>
          <w:sz w:val="48"/>
          <w:szCs w:val="48"/>
          <w:highlight w:val="none"/>
        </w:rPr>
      </w:pPr>
    </w:p>
    <w:p>
      <w:pPr>
        <w:widowControl/>
        <w:jc w:val="center"/>
        <w:rPr>
          <w:rFonts w:ascii="方正小标宋简体" w:hAnsi="方正小标宋简体" w:eastAsia="方正小标宋简体" w:cs="方正小标宋简体"/>
          <w:bCs/>
          <w:color w:val="auto"/>
          <w:sz w:val="48"/>
          <w:szCs w:val="48"/>
          <w:highlight w:val="none"/>
        </w:rPr>
        <w:sectPr>
          <w:footerReference r:id="rId4" w:type="first"/>
          <w:footerReference r:id="rId3" w:type="default"/>
          <w:pgSz w:w="11906" w:h="16838"/>
          <w:pgMar w:top="1440" w:right="1800" w:bottom="1440" w:left="1800" w:header="851" w:footer="992" w:gutter="0"/>
          <w:pgNumType w:start="1"/>
          <w:cols w:space="720" w:num="1"/>
          <w:docGrid w:type="lines" w:linePitch="312" w:charSpace="0"/>
        </w:sectPr>
      </w:pPr>
      <w:r>
        <w:rPr>
          <w:rFonts w:hint="eastAsia" w:ascii="黑体" w:hAnsi="黑体" w:eastAsia="黑体"/>
          <w:bCs/>
          <w:color w:val="auto"/>
          <w:sz w:val="44"/>
          <w:szCs w:val="44"/>
          <w:highlight w:val="none"/>
        </w:rPr>
        <w:t>2025年</w:t>
      </w:r>
      <w:r>
        <w:rPr>
          <w:rFonts w:hint="eastAsia" w:ascii="黑体" w:hAnsi="黑体" w:eastAsia="黑体"/>
          <w:bCs/>
          <w:color w:val="auto"/>
          <w:sz w:val="44"/>
          <w:szCs w:val="44"/>
          <w:highlight w:val="none"/>
          <w:lang w:val="en-US" w:eastAsia="zh-CN"/>
        </w:rPr>
        <w:t>7</w:t>
      </w:r>
      <w:r>
        <w:rPr>
          <w:rFonts w:hint="eastAsia" w:ascii="黑体" w:hAnsi="黑体" w:eastAsia="黑体"/>
          <w:bCs/>
          <w:color w:val="auto"/>
          <w:sz w:val="44"/>
          <w:szCs w:val="44"/>
          <w:highlight w:val="none"/>
        </w:rPr>
        <w:t>月</w:t>
      </w:r>
    </w:p>
    <w:p>
      <w:pPr>
        <w:widowControl/>
        <w:spacing w:line="540" w:lineRule="exact"/>
        <w:rPr>
          <w:rFonts w:ascii="方正小标宋简体" w:hAnsi="方正小标宋简体" w:eastAsia="方正小标宋简体" w:cs="方正小标宋简体"/>
          <w:bCs/>
          <w:color w:val="auto"/>
          <w:sz w:val="44"/>
          <w:szCs w:val="44"/>
          <w:highlight w:val="none"/>
        </w:rPr>
      </w:pPr>
    </w:p>
    <w:p>
      <w:pPr>
        <w:widowControl/>
        <w:spacing w:line="600" w:lineRule="exact"/>
        <w:jc w:val="center"/>
        <w:outlineLvl w:val="0"/>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北京市政务服务和数据管理局</w:t>
      </w:r>
    </w:p>
    <w:p>
      <w:pPr>
        <w:widowControl/>
        <w:spacing w:line="600" w:lineRule="exact"/>
        <w:jc w:val="center"/>
        <w:outlineLvl w:val="0"/>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采购比选文件</w:t>
      </w:r>
    </w:p>
    <w:p>
      <w:pPr>
        <w:widowControl/>
        <w:spacing w:line="540" w:lineRule="exact"/>
        <w:jc w:val="center"/>
        <w:rPr>
          <w:rFonts w:ascii="仿宋_GB2312" w:eastAsia="仿宋_GB2312"/>
          <w:b/>
          <w:color w:val="auto"/>
          <w:sz w:val="28"/>
          <w:szCs w:val="28"/>
          <w:highlight w:val="none"/>
        </w:rPr>
      </w:pPr>
    </w:p>
    <w:p>
      <w:pPr>
        <w:widowControl/>
        <w:spacing w:line="540" w:lineRule="exact"/>
        <w:jc w:val="center"/>
        <w:outlineLvl w:val="0"/>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第一章  比选邀请函</w:t>
      </w:r>
    </w:p>
    <w:p>
      <w:pPr>
        <w:widowControl/>
        <w:spacing w:line="540" w:lineRule="exact"/>
        <w:rPr>
          <w:rFonts w:ascii="仿宋_GB2312" w:hAnsi="仿宋_GB2312" w:eastAsia="仿宋_GB2312" w:cs="仿宋_GB2312"/>
          <w:color w:val="auto"/>
          <w:sz w:val="28"/>
          <w:szCs w:val="28"/>
          <w:highlight w:val="none"/>
        </w:rPr>
      </w:pPr>
    </w:p>
    <w:p>
      <w:pPr>
        <w:widowControl/>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rPr>
        <w:t>北京市政务服务和数据管理局拟对市政务服务数据资源管理平台(直达专区)政务云基础服务（资源）及云上其他相关服务项目采用比选方式进行采购。</w:t>
      </w:r>
      <w:r>
        <w:rPr>
          <w:rFonts w:hint="eastAsia" w:ascii="仿宋_GB2312" w:hAnsi="仿宋_GB2312" w:eastAsia="仿宋_GB2312" w:cs="仿宋_GB2312"/>
          <w:color w:val="auto"/>
          <w:sz w:val="28"/>
          <w:szCs w:val="28"/>
          <w:highlight w:val="none"/>
        </w:rPr>
        <w:t>现将有关情况明确如下：</w:t>
      </w:r>
    </w:p>
    <w:p>
      <w:pPr>
        <w:widowControl/>
        <w:spacing w:line="560" w:lineRule="exact"/>
        <w:ind w:firstLine="554" w:firstLineChars="198"/>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一、请贵单位按照本次比选采购的要求向北京市政务服务和数据管理局提交报价单</w:t>
      </w:r>
      <w:r>
        <w:rPr>
          <w:rFonts w:hint="eastAsia" w:ascii="仿宋_GB2312" w:hAnsi="仿宋_GB2312" w:eastAsia="仿宋_GB2312" w:cs="仿宋_GB2312"/>
          <w:color w:val="auto"/>
          <w:sz w:val="28"/>
          <w:szCs w:val="28"/>
          <w:highlight w:val="none"/>
          <w:lang w:eastAsia="zh-Hans"/>
        </w:rPr>
        <w:t>、响应文件</w:t>
      </w:r>
      <w:r>
        <w:rPr>
          <w:rFonts w:hint="eastAsia" w:ascii="仿宋_GB2312" w:hAnsi="仿宋_GB2312" w:eastAsia="仿宋_GB2312" w:cs="仿宋_GB2312"/>
          <w:color w:val="auto"/>
          <w:sz w:val="28"/>
          <w:szCs w:val="28"/>
          <w:highlight w:val="none"/>
        </w:rPr>
        <w:t>及相关服务承诺等资料。若发现对项目内容描述不清或有误的，请在2025年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rPr>
        <w:t>日</w:t>
      </w:r>
      <w:bookmarkStart w:id="8" w:name="_GoBack"/>
      <w:bookmarkEnd w:id="8"/>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时-2025年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时联系工作人员。</w:t>
      </w:r>
    </w:p>
    <w:p>
      <w:pPr>
        <w:widowControl/>
        <w:spacing w:line="560" w:lineRule="exact"/>
        <w:ind w:firstLine="554" w:firstLineChars="198"/>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联系人：张</w:t>
      </w:r>
      <w:r>
        <w:rPr>
          <w:rFonts w:hint="eastAsia" w:ascii="仿宋_GB2312" w:hAnsi="仿宋_GB2312" w:eastAsia="仿宋_GB2312" w:cs="仿宋_GB2312"/>
          <w:color w:val="auto"/>
          <w:sz w:val="28"/>
          <w:szCs w:val="28"/>
          <w:highlight w:val="none"/>
          <w:lang w:val="en-US" w:eastAsia="zh-CN"/>
        </w:rPr>
        <w:t>先生</w:t>
      </w:r>
      <w:r>
        <w:rPr>
          <w:rFonts w:hint="eastAsia" w:ascii="仿宋_GB2312" w:hAnsi="仿宋_GB2312" w:eastAsia="仿宋_GB2312" w:cs="仿宋_GB2312"/>
          <w:color w:val="auto"/>
          <w:sz w:val="28"/>
          <w:szCs w:val="28"/>
          <w:highlight w:val="none"/>
        </w:rPr>
        <w:t>，联系电话：010-55529641</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二、比选报名和响应</w:t>
      </w:r>
      <w:r>
        <w:rPr>
          <w:rFonts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rPr>
        <w:t>递交时间及地点。</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1.响应</w:t>
      </w:r>
      <w:r>
        <w:rPr>
          <w:rFonts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rPr>
        <w:t>递交截止时间：2025年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日，14时30分（北京时间）。</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2.响应文件递交地点：</w:t>
      </w:r>
      <w:bookmarkStart w:id="0" w:name="OLE_LINK1"/>
      <w:r>
        <w:rPr>
          <w:rFonts w:hint="eastAsia" w:ascii="仿宋_GB2312" w:hAnsi="仿宋_GB2312" w:eastAsia="仿宋_GB2312" w:cs="仿宋_GB2312"/>
          <w:color w:val="auto"/>
          <w:sz w:val="28"/>
          <w:szCs w:val="28"/>
          <w:highlight w:val="none"/>
        </w:rPr>
        <w:t>北京市政务服务和数据管理局（北京市通州区留庄路</w:t>
      </w:r>
      <w:r>
        <w:rPr>
          <w:rFonts w:hint="eastAsia" w:ascii="仿宋_GB2312" w:hAnsi="仿宋_GB2312" w:eastAsia="仿宋_GB2312" w:cs="仿宋_GB2312"/>
          <w:color w:val="auto"/>
          <w:sz w:val="28"/>
          <w:szCs w:val="28"/>
          <w:highlight w:val="none"/>
          <w:lang w:val="en-US" w:eastAsia="zh-CN"/>
        </w:rPr>
        <w:t>5号院</w:t>
      </w:r>
      <w:r>
        <w:rPr>
          <w:rFonts w:hint="eastAsia" w:ascii="仿宋_GB2312" w:hAnsi="仿宋_GB2312" w:eastAsia="仿宋_GB2312" w:cs="仿宋_GB2312"/>
          <w:color w:val="auto"/>
          <w:sz w:val="28"/>
          <w:szCs w:val="28"/>
          <w:highlight w:val="none"/>
        </w:rPr>
        <w:t>）</w:t>
      </w:r>
      <w:r>
        <w:rPr>
          <w:rFonts w:hint="eastAsia" w:ascii="仿宋_GB2312" w:eastAsia="仿宋_GB2312"/>
          <w:sz w:val="28"/>
          <w:szCs w:val="28"/>
          <w:highlight w:val="none"/>
          <w:lang w:val="en-US" w:eastAsia="zh-CN"/>
        </w:rPr>
        <w:t>2号楼</w:t>
      </w:r>
      <w:r>
        <w:rPr>
          <w:rFonts w:hint="eastAsia" w:ascii="仿宋_GB2312" w:hAnsi="仿宋_GB2312" w:eastAsia="仿宋_GB2312" w:cs="仿宋_GB2312"/>
          <w:color w:val="auto"/>
          <w:sz w:val="28"/>
          <w:szCs w:val="28"/>
          <w:highlight w:val="none"/>
          <w:lang w:val="en-US" w:eastAsia="zh-CN"/>
        </w:rPr>
        <w:t>245</w:t>
      </w:r>
      <w:r>
        <w:rPr>
          <w:rFonts w:hint="eastAsia" w:ascii="仿宋_GB2312" w:hAnsi="仿宋_GB2312" w:eastAsia="仿宋_GB2312" w:cs="仿宋_GB2312"/>
          <w:color w:val="auto"/>
          <w:sz w:val="28"/>
          <w:szCs w:val="28"/>
          <w:highlight w:val="none"/>
        </w:rPr>
        <w:t>会议室</w:t>
      </w:r>
      <w:bookmarkEnd w:id="0"/>
      <w:r>
        <w:rPr>
          <w:rFonts w:hint="eastAsia" w:ascii="仿宋_GB2312" w:hAnsi="仿宋_GB2312" w:eastAsia="仿宋_GB2312" w:cs="仿宋_GB2312"/>
          <w:color w:val="auto"/>
          <w:sz w:val="28"/>
          <w:szCs w:val="28"/>
          <w:highlight w:val="none"/>
        </w:rPr>
        <w:t>。响应文件</w:t>
      </w:r>
      <w:r>
        <w:rPr>
          <w:rFonts w:hint="eastAsia" w:ascii="仿宋_GB2312" w:hAnsi="仿宋_GB2312" w:eastAsia="仿宋_GB2312" w:cs="仿宋_GB2312"/>
          <w:color w:val="auto"/>
          <w:sz w:val="28"/>
          <w:szCs w:val="28"/>
          <w:highlight w:val="none"/>
          <w:lang w:eastAsia="zh-Hans"/>
        </w:rPr>
        <w:t>正本【</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Hans"/>
        </w:rPr>
        <w:t>】份、副本【</w:t>
      </w: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Hans"/>
        </w:rPr>
        <w:t>】份</w:t>
      </w:r>
      <w:r>
        <w:rPr>
          <w:rFonts w:hint="eastAsia" w:ascii="仿宋_GB2312" w:hAnsi="仿宋_GB2312" w:eastAsia="仿宋_GB2312" w:cs="仿宋_GB2312"/>
          <w:color w:val="auto"/>
          <w:sz w:val="28"/>
          <w:szCs w:val="28"/>
          <w:highlight w:val="none"/>
        </w:rPr>
        <w:t>请于响应截止时间之前送达，逾期送达的响应文件恕不接收。</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3.响应</w:t>
      </w:r>
      <w:r>
        <w:rPr>
          <w:rFonts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rPr>
        <w:t>密封要求：响应文件须装订、密封并在密封袋上注明比选项目名称、响应人名称等内容。</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三、采购人根据科学合理、经济可行且比选最终评分最高的原则确定成交审查单位。</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四、确定成交审查单位的标准和参考依据。</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（一）服务内容及需求。</w:t>
      </w:r>
    </w:p>
    <w:p>
      <w:pPr>
        <w:spacing w:line="560" w:lineRule="exact"/>
        <w:ind w:firstLine="560" w:firstLineChars="200"/>
        <w:outlineLvl w:val="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1.项目名称：市政务服务数据资源管理平台(直达专区)政务云基础服务（资源）及云上其他相关服务项目。</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2.项目需求：</w:t>
      </w:r>
      <w:r>
        <w:rPr>
          <w:rFonts w:hint="eastAsia" w:ascii="仿宋_GB2312" w:eastAsia="仿宋_GB2312"/>
          <w:color w:val="auto"/>
          <w:sz w:val="28"/>
          <w:szCs w:val="28"/>
          <w:highlight w:val="none"/>
        </w:rPr>
        <w:t>市政务服务数据资源管理平台(直达专区)升级改造项目通过数据接口方式向国家平台汇聚北京市政务服务数据资源目录、数据资源信息，同步数据需求、资源申请、数据异议、数据应用案例等，查询并获取国家平台数据目录、数据资源和数据共享业务流转状态等。在项目升级改造过程中，为满足</w:t>
      </w:r>
      <w:r>
        <w:rPr>
          <w:rFonts w:hint="eastAsia" w:ascii="仿宋_GB2312" w:eastAsia="仿宋_GB2312"/>
          <w:color w:val="auto"/>
          <w:sz w:val="28"/>
          <w:szCs w:val="28"/>
          <w:highlight w:val="none"/>
          <w:lang w:eastAsia="zh-Hans"/>
        </w:rPr>
        <w:t>市政务服务数据资源管理平台(直达专区)</w:t>
      </w:r>
      <w:r>
        <w:rPr>
          <w:rFonts w:hint="eastAsia" w:ascii="仿宋_GB2312" w:eastAsia="仿宋_GB2312"/>
          <w:color w:val="auto"/>
          <w:sz w:val="28"/>
          <w:szCs w:val="28"/>
          <w:highlight w:val="none"/>
        </w:rPr>
        <w:t>安全稳定运行</w:t>
      </w:r>
      <w:r>
        <w:rPr>
          <w:rFonts w:hint="eastAsia" w:ascii="仿宋_GB2312" w:eastAsia="仿宋_GB2312"/>
          <w:color w:val="auto"/>
          <w:sz w:val="28"/>
          <w:szCs w:val="28"/>
          <w:highlight w:val="none"/>
          <w:lang w:eastAsia="zh-Hans"/>
        </w:rPr>
        <w:t>，</w:t>
      </w:r>
      <w:r>
        <w:rPr>
          <w:rFonts w:hint="eastAsia" w:ascii="仿宋_GB2312" w:eastAsia="仿宋_GB2312"/>
          <w:color w:val="auto"/>
          <w:sz w:val="28"/>
          <w:szCs w:val="28"/>
          <w:highlight w:val="none"/>
        </w:rPr>
        <w:t>需租用政务云基础服务（资源），并提供云上其他相关服务费</w:t>
      </w:r>
      <w:r>
        <w:rPr>
          <w:rFonts w:hint="eastAsia" w:ascii="仿宋_GB2312" w:hAnsi="Calibri" w:eastAsia="仿宋_GB2312"/>
          <w:color w:val="auto"/>
          <w:sz w:val="28"/>
          <w:szCs w:val="28"/>
          <w:highlight w:val="none"/>
          <w:lang w:bidi="ar"/>
        </w:rPr>
        <w:t>。</w:t>
      </w:r>
    </w:p>
    <w:p>
      <w:pPr>
        <w:spacing w:line="560" w:lineRule="exact"/>
        <w:ind w:firstLine="560" w:firstLineChars="200"/>
        <w:rPr>
          <w:rFonts w:ascii="仿宋_GB2312" w:eastAsia="仿宋_GB2312"/>
          <w:color w:val="auto"/>
          <w:sz w:val="28"/>
          <w:szCs w:val="28"/>
          <w:highlight w:val="none"/>
        </w:rPr>
      </w:pPr>
      <w:bookmarkStart w:id="1" w:name="_Hlk166775872"/>
      <w:r>
        <w:rPr>
          <w:rFonts w:hint="eastAsia" w:ascii="仿宋_GB2312" w:eastAsia="仿宋_GB2312"/>
          <w:color w:val="auto"/>
          <w:sz w:val="28"/>
          <w:szCs w:val="28"/>
          <w:highlight w:val="none"/>
        </w:rPr>
        <w:t>政务云基础服务（资源）需求：</w:t>
      </w:r>
    </w:p>
    <w:bookmarkEnd w:id="1"/>
    <w:tbl>
      <w:tblPr>
        <w:tblStyle w:val="18"/>
        <w:tblW w:w="4997" w:type="pct"/>
        <w:tblInd w:w="0" w:type="dxa"/>
        <w:tblLayout w:type="autofit"/>
        <w:tblCellMar>
          <w:top w:w="0" w:type="dxa"/>
          <w:left w:w="108" w:type="dxa"/>
          <w:bottom w:w="0" w:type="dxa"/>
          <w:right w:w="108" w:type="dxa"/>
        </w:tblCellMar>
      </w:tblPr>
      <w:tblGrid>
        <w:gridCol w:w="689"/>
        <w:gridCol w:w="1350"/>
        <w:gridCol w:w="1377"/>
        <w:gridCol w:w="3286"/>
        <w:gridCol w:w="878"/>
        <w:gridCol w:w="937"/>
      </w:tblGrid>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序号</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系统（功能）名称</w:t>
            </w:r>
          </w:p>
        </w:tc>
        <w:tc>
          <w:tcPr>
            <w:tcW w:w="8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服务项</w:t>
            </w:r>
          </w:p>
        </w:tc>
        <w:tc>
          <w:tcPr>
            <w:tcW w:w="1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功能描述</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数量</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 xml:space="preserve">服务期（月） </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计算服务</w:t>
            </w:r>
          </w:p>
        </w:tc>
        <w:tc>
          <w:tcPr>
            <w:tcW w:w="81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x86平台云主机服务</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vCPU（主频不低于2.4GHz）</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220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内存</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576</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存储服务</w:t>
            </w: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普通性能存储</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普通存储（单盘技术指标: 单盘IOPS 1000-3000 ）</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18250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高性能存储</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高性能存储（单盘技术指标：单盘IOPS 3000-20000 ）</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18250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本地备份服务</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通过备份策略实现文件、操作系统、数据库的本地备份（不包含备份存储空间费用）</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18250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6</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网络服务</w:t>
            </w: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远程接入服务</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每个账号结合身份验通过VPN远程接入堡垒机进行维护</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主机负载均衡服务</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主机负载均衡服务</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8</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云主机深度监控服务</w:t>
            </w: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特定云主机深度监控及运维保障服务（7*24 小时值守）</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7*24 小时深度监测云主机资源、硬件设备监控、云平台层应急处置等内容</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36</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bl>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云上其他相关服务需求：</w:t>
      </w:r>
    </w:p>
    <w:tbl>
      <w:tblPr>
        <w:tblStyle w:val="18"/>
        <w:tblW w:w="5035" w:type="pct"/>
        <w:tblInd w:w="0" w:type="dxa"/>
        <w:tblLayout w:type="fixed"/>
        <w:tblCellMar>
          <w:top w:w="0" w:type="dxa"/>
          <w:left w:w="108" w:type="dxa"/>
          <w:bottom w:w="0" w:type="dxa"/>
          <w:right w:w="108" w:type="dxa"/>
        </w:tblCellMar>
      </w:tblPr>
      <w:tblGrid>
        <w:gridCol w:w="765"/>
        <w:gridCol w:w="1552"/>
        <w:gridCol w:w="1579"/>
        <w:gridCol w:w="3694"/>
        <w:gridCol w:w="992"/>
      </w:tblGrid>
      <w:tr>
        <w:tblPrEx>
          <w:tblCellMar>
            <w:top w:w="0" w:type="dxa"/>
            <w:left w:w="108" w:type="dxa"/>
            <w:bottom w:w="0" w:type="dxa"/>
            <w:right w:w="108" w:type="dxa"/>
          </w:tblCellMar>
        </w:tblPrEx>
        <w:trPr>
          <w:trHeight w:val="46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序号</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系统（功能）名称</w:t>
            </w:r>
          </w:p>
        </w:tc>
        <w:tc>
          <w:tcPr>
            <w:tcW w:w="9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服务项</w:t>
            </w:r>
          </w:p>
        </w:tc>
        <w:tc>
          <w:tcPr>
            <w:tcW w:w="21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功能描述</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黑体" w:hAnsi="黑体" w:eastAsia="黑体" w:cs="黑体"/>
                <w:color w:val="auto"/>
                <w:kern w:val="0"/>
                <w:sz w:val="24"/>
                <w:highlight w:val="none"/>
                <w:lang w:bidi="ar"/>
              </w:rPr>
              <w:t>服务期（月）</w:t>
            </w:r>
          </w:p>
        </w:tc>
      </w:tr>
      <w:tr>
        <w:tblPrEx>
          <w:tblCellMar>
            <w:top w:w="0" w:type="dxa"/>
            <w:left w:w="108" w:type="dxa"/>
            <w:bottom w:w="0" w:type="dxa"/>
            <w:right w:w="108" w:type="dxa"/>
          </w:tblCellMar>
        </w:tblPrEx>
        <w:trPr>
          <w:trHeight w:val="64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安全服务</w:t>
            </w:r>
          </w:p>
        </w:tc>
        <w:tc>
          <w:tcPr>
            <w:tcW w:w="9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主机杀毒服务</w:t>
            </w:r>
          </w:p>
        </w:tc>
        <w:tc>
          <w:tcPr>
            <w:tcW w:w="21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对云主机进行定期的病毒查杀，杀毒软件集中控制，对网络性能无影响。</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7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w:t>
            </w: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p>
        </w:tc>
        <w:tc>
          <w:tcPr>
            <w:tcW w:w="9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主机安全加固</w:t>
            </w:r>
          </w:p>
        </w:tc>
        <w:tc>
          <w:tcPr>
            <w:tcW w:w="21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针对漏扫或等级测评结果对操作系统进行安全加固，用以解决等级测评结果中所显示的漏洞。</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6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安全检测监测、审计服务</w:t>
            </w:r>
          </w:p>
        </w:tc>
        <w:tc>
          <w:tcPr>
            <w:tcW w:w="9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主机漏洞扫描</w:t>
            </w:r>
          </w:p>
        </w:tc>
        <w:tc>
          <w:tcPr>
            <w:tcW w:w="21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为用户提供针对主机层面的安全扫描服务，并反馈相关结果。</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r>
    </w:tbl>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（二）本项目采购限额为</w:t>
      </w:r>
      <w:r>
        <w:rPr>
          <w:rFonts w:hint="eastAsia" w:ascii="仿宋_GB2312" w:hAnsi="宋体"/>
          <w:color w:val="auto"/>
          <w:sz w:val="28"/>
          <w:szCs w:val="28"/>
          <w:highlight w:val="none"/>
        </w:rPr>
        <w:t>6.570000</w:t>
      </w:r>
      <w:r>
        <w:rPr>
          <w:rFonts w:hint="eastAsia" w:ascii="仿宋_GB2312" w:hAnsi="仿宋_GB2312" w:eastAsia="仿宋_GB2312" w:cs="仿宋_GB2312"/>
          <w:color w:val="auto"/>
          <w:sz w:val="28"/>
          <w:szCs w:val="28"/>
          <w:highlight w:val="none"/>
        </w:rPr>
        <w:t>万元。</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w:t>
      </w:r>
      <w:r>
        <w:rPr>
          <w:rFonts w:hint="eastAsia" w:ascii="仿宋_GB2312" w:hAnsi="仿宋_GB2312" w:eastAsia="仿宋_GB2312" w:cs="仿宋_GB2312"/>
          <w:b w:val="0"/>
          <w:bCs w:val="0"/>
          <w:color w:val="auto"/>
          <w:sz w:val="28"/>
          <w:szCs w:val="28"/>
          <w:highlight w:val="none"/>
          <w:lang w:val="en-US" w:eastAsia="zh-CN"/>
        </w:rPr>
        <w:t>本项目实施周期为按照甲方要求，在合同签订之后，提供1个月政务云基础服务（资源）及云上其他相关服务。</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五、比选响应需提交材料</w:t>
      </w:r>
    </w:p>
    <w:p>
      <w:pPr>
        <w:spacing w:line="560" w:lineRule="exact"/>
        <w:ind w:firstLine="560" w:firstLineChars="200"/>
        <w:outlineLvl w:val="2"/>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shd w:val="clear" w:color="auto" w:fill="FFFFFF"/>
          <w:lang w:eastAsia="zh-Hans"/>
        </w:rPr>
        <w:t>营业执照</w:t>
      </w:r>
      <w:r>
        <w:rPr>
          <w:rFonts w:hint="eastAsia" w:ascii="仿宋_GB2312" w:hAnsi="仿宋_GB2312" w:eastAsia="仿宋_GB2312" w:cs="仿宋_GB2312"/>
          <w:color w:val="auto"/>
          <w:sz w:val="28"/>
          <w:szCs w:val="28"/>
          <w:highlight w:val="none"/>
          <w:shd w:val="clear" w:color="auto" w:fill="FFFFFF"/>
        </w:rPr>
        <w:t>复印件；</w:t>
      </w:r>
    </w:p>
    <w:p>
      <w:pPr>
        <w:spacing w:line="560" w:lineRule="exact"/>
        <w:ind w:firstLine="560" w:firstLineChars="200"/>
        <w:rPr>
          <w:rFonts w:ascii="仿宋_GB2312" w:hAnsi="宋体" w:eastAsia="仿宋_GB2312"/>
          <w:color w:val="auto"/>
          <w:sz w:val="28"/>
          <w:szCs w:val="21"/>
          <w:highlight w:val="none"/>
        </w:rPr>
      </w:pPr>
      <w:r>
        <w:rPr>
          <w:rFonts w:hint="eastAsia" w:ascii="仿宋_GB2312" w:hAnsi="宋体" w:eastAsia="仿宋_GB2312"/>
          <w:color w:val="auto"/>
          <w:sz w:val="28"/>
          <w:szCs w:val="21"/>
          <w:highlight w:val="none"/>
        </w:rPr>
        <w:t>2.法定代表人授权书或法定代表人身份证明书原件（格式见附件）；</w:t>
      </w:r>
    </w:p>
    <w:p>
      <w:pPr>
        <w:spacing w:line="560" w:lineRule="exact"/>
        <w:ind w:firstLine="560" w:firstLineChars="200"/>
        <w:rPr>
          <w:rFonts w:ascii="仿宋_GB2312" w:hAnsi="宋体" w:eastAsia="仿宋_GB2312"/>
          <w:color w:val="auto"/>
          <w:sz w:val="28"/>
          <w:szCs w:val="21"/>
          <w:highlight w:val="none"/>
        </w:rPr>
      </w:pPr>
      <w:r>
        <w:rPr>
          <w:rFonts w:hint="eastAsia" w:ascii="仿宋_GB2312" w:hAnsi="宋体" w:eastAsia="仿宋_GB2312"/>
          <w:color w:val="auto"/>
          <w:sz w:val="28"/>
          <w:szCs w:val="21"/>
          <w:highlight w:val="none"/>
        </w:rPr>
        <w:t>3.响应人</w:t>
      </w:r>
      <w:r>
        <w:rPr>
          <w:rFonts w:hint="eastAsia" w:ascii="仿宋_GB2312" w:hAnsi="宋体" w:eastAsia="仿宋_GB2312"/>
          <w:color w:val="auto"/>
          <w:sz w:val="28"/>
          <w:szCs w:val="21"/>
          <w:highlight w:val="none"/>
          <w:lang w:eastAsia="zh-Hans"/>
        </w:rPr>
        <w:t>资格声明书（格式</w:t>
      </w:r>
      <w:r>
        <w:rPr>
          <w:rFonts w:hint="eastAsia" w:ascii="仿宋_GB2312" w:hAnsi="宋体" w:eastAsia="仿宋_GB2312"/>
          <w:color w:val="auto"/>
          <w:sz w:val="28"/>
          <w:szCs w:val="21"/>
          <w:highlight w:val="none"/>
        </w:rPr>
        <w:t>见</w:t>
      </w:r>
      <w:r>
        <w:rPr>
          <w:rFonts w:hint="eastAsia" w:ascii="仿宋_GB2312" w:hAnsi="宋体" w:eastAsia="仿宋_GB2312"/>
          <w:color w:val="auto"/>
          <w:sz w:val="28"/>
          <w:szCs w:val="21"/>
          <w:highlight w:val="none"/>
          <w:lang w:eastAsia="zh-Hans"/>
        </w:rPr>
        <w:t>附件）</w:t>
      </w:r>
      <w:r>
        <w:rPr>
          <w:rFonts w:hint="eastAsia" w:ascii="仿宋_GB2312" w:hAnsi="宋体" w:eastAsia="仿宋_GB2312"/>
          <w:color w:val="auto"/>
          <w:sz w:val="28"/>
          <w:szCs w:val="21"/>
          <w:highlight w:val="none"/>
        </w:rPr>
        <w:t>；</w:t>
      </w:r>
    </w:p>
    <w:p>
      <w:pPr>
        <w:wordWrap w:val="0"/>
        <w:spacing w:line="560" w:lineRule="exact"/>
        <w:ind w:firstLine="560" w:firstLineChars="200"/>
        <w:rPr>
          <w:rFonts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4.比选申请人不得为“信用中国”网站（www.creditchina.gov.cn）中列入失信被执行人和重大税收违法失信主体的供应商，不得为中国政府采购网（www.ccgp.gov.cn）政府采购严重违法失信行为记录名单中被财政部门禁止参加政府采购活动的供应商（处罚决定规定的时间和地域范围内）；</w:t>
      </w:r>
    </w:p>
    <w:p>
      <w:pPr>
        <w:spacing w:line="560" w:lineRule="exact"/>
        <w:ind w:firstLine="560" w:firstLineChars="200"/>
        <w:outlineLvl w:val="2"/>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shd w:val="clear" w:color="auto" w:fill="FFFFFF"/>
        </w:rPr>
        <w:t>5.</w:t>
      </w:r>
      <w:r>
        <w:rPr>
          <w:rFonts w:hint="eastAsia" w:ascii="仿宋_GB2312" w:hAnsi="仿宋_GB2312" w:eastAsia="仿宋_GB2312" w:cs="仿宋_GB2312"/>
          <w:color w:val="auto"/>
          <w:sz w:val="28"/>
          <w:szCs w:val="28"/>
          <w:highlight w:val="none"/>
        </w:rPr>
        <w:t>报价表</w:t>
      </w:r>
      <w:r>
        <w:rPr>
          <w:rFonts w:hint="eastAsia" w:ascii="仿宋_GB2312" w:hAnsi="仿宋_GB2312" w:eastAsia="仿宋_GB2312" w:cs="仿宋_GB2312"/>
          <w:color w:val="auto"/>
          <w:sz w:val="28"/>
          <w:szCs w:val="28"/>
          <w:highlight w:val="none"/>
          <w:shd w:val="clear" w:color="auto" w:fill="FFFFFF"/>
        </w:rPr>
        <w:t>（格式</w:t>
      </w:r>
      <w:r>
        <w:rPr>
          <w:rFonts w:hint="eastAsia" w:ascii="仿宋_GB2312" w:hAnsi="仿宋_GB2312" w:eastAsia="仿宋_GB2312" w:cs="仿宋_GB2312"/>
          <w:color w:val="auto"/>
          <w:sz w:val="28"/>
          <w:szCs w:val="28"/>
          <w:highlight w:val="none"/>
          <w:shd w:val="clear" w:color="auto" w:fill="FFFFFF"/>
          <w:lang w:eastAsia="zh-Hans"/>
        </w:rPr>
        <w:t>见</w:t>
      </w:r>
      <w:r>
        <w:rPr>
          <w:rFonts w:hint="eastAsia" w:ascii="仿宋_GB2312" w:hAnsi="仿宋_GB2312" w:eastAsia="仿宋_GB2312" w:cs="仿宋_GB2312"/>
          <w:color w:val="auto"/>
          <w:sz w:val="28"/>
          <w:szCs w:val="28"/>
          <w:highlight w:val="none"/>
          <w:shd w:val="clear" w:color="auto" w:fill="FFFFFF"/>
        </w:rPr>
        <w:t>附件）</w:t>
      </w:r>
      <w:r>
        <w:rPr>
          <w:rFonts w:hint="eastAsia" w:ascii="仿宋_GB2312" w:hAnsi="仿宋_GB2312" w:eastAsia="仿宋_GB2312" w:cs="仿宋_GB2312"/>
          <w:color w:val="auto"/>
          <w:sz w:val="28"/>
          <w:szCs w:val="28"/>
          <w:highlight w:val="none"/>
        </w:rPr>
        <w:t>；</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shd w:val="clear" w:color="auto" w:fill="FFFFFF"/>
        </w:rPr>
        <w:t>近三年</w:t>
      </w:r>
      <w:r>
        <w:rPr>
          <w:rFonts w:hint="eastAsia" w:ascii="仿宋_GB2312" w:hAnsi="宋体" w:eastAsia="仿宋_GB2312"/>
          <w:color w:val="auto"/>
          <w:sz w:val="28"/>
          <w:szCs w:val="21"/>
          <w:highlight w:val="none"/>
        </w:rPr>
        <w:t>（2022年1月1日起至今）</w:t>
      </w:r>
      <w:r>
        <w:rPr>
          <w:rFonts w:hint="eastAsia" w:ascii="仿宋_GB2312" w:hAnsi="仿宋_GB2312" w:eastAsia="仿宋_GB2312" w:cs="仿宋_GB2312"/>
          <w:color w:val="auto"/>
          <w:sz w:val="28"/>
          <w:szCs w:val="28"/>
          <w:highlight w:val="none"/>
          <w:shd w:val="clear" w:color="auto" w:fill="FFFFFF"/>
        </w:rPr>
        <w:t>同类项目</w:t>
      </w:r>
      <w:r>
        <w:rPr>
          <w:rFonts w:hint="eastAsia" w:ascii="仿宋_GB2312" w:hAnsi="仿宋_GB2312" w:eastAsia="仿宋_GB2312" w:cs="仿宋_GB2312"/>
          <w:color w:val="auto"/>
          <w:sz w:val="28"/>
          <w:szCs w:val="28"/>
          <w:highlight w:val="none"/>
        </w:rPr>
        <w:t>业绩一览表</w:t>
      </w:r>
      <w:r>
        <w:rPr>
          <w:rFonts w:hint="eastAsia" w:ascii="仿宋_GB2312" w:hAnsi="宋体" w:eastAsia="仿宋_GB2312"/>
          <w:color w:val="auto"/>
          <w:sz w:val="28"/>
          <w:szCs w:val="21"/>
          <w:highlight w:val="none"/>
          <w:lang w:eastAsia="zh-Hans"/>
        </w:rPr>
        <w:t>（格式</w:t>
      </w:r>
      <w:r>
        <w:rPr>
          <w:rFonts w:hint="eastAsia" w:ascii="仿宋_GB2312" w:hAnsi="宋体" w:eastAsia="仿宋_GB2312"/>
          <w:color w:val="auto"/>
          <w:sz w:val="28"/>
          <w:szCs w:val="21"/>
          <w:highlight w:val="none"/>
        </w:rPr>
        <w:t>见</w:t>
      </w:r>
      <w:r>
        <w:rPr>
          <w:rFonts w:hint="eastAsia" w:ascii="仿宋_GB2312" w:hAnsi="宋体" w:eastAsia="仿宋_GB2312"/>
          <w:color w:val="auto"/>
          <w:sz w:val="28"/>
          <w:szCs w:val="21"/>
          <w:highlight w:val="none"/>
          <w:lang w:eastAsia="zh-Hans"/>
        </w:rPr>
        <w:t>附件）</w:t>
      </w:r>
      <w:r>
        <w:rPr>
          <w:rFonts w:hint="eastAsia" w:ascii="仿宋_GB2312" w:hAnsi="仿宋_GB2312" w:eastAsia="仿宋_GB2312" w:cs="仿宋_GB2312"/>
          <w:color w:val="auto"/>
          <w:sz w:val="28"/>
          <w:szCs w:val="28"/>
          <w:highlight w:val="none"/>
        </w:rPr>
        <w:t>，附合同首页、服务内容页、签章页；</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7.服务方案（包括项目实施方案、进度计划、售后服务、保障措施等）；</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8.具有履行合同所必需的软件产品、专业技术能力和专业团队；</w:t>
      </w:r>
    </w:p>
    <w:p>
      <w:pPr>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shd w:val="clear" w:color="auto" w:fill="FFFFFF"/>
        </w:rPr>
        <w:t>比选响应单位</w:t>
      </w:r>
      <w:r>
        <w:rPr>
          <w:rFonts w:hint="eastAsia" w:ascii="仿宋_GB2312" w:hAnsi="仿宋_GB2312" w:eastAsia="仿宋_GB2312" w:cs="仿宋_GB2312"/>
          <w:color w:val="auto"/>
          <w:sz w:val="28"/>
          <w:szCs w:val="28"/>
          <w:highlight w:val="none"/>
        </w:rPr>
        <w:t>认为有必要提供的其他相关材料（加盖公章）</w:t>
      </w:r>
      <w:r>
        <w:rPr>
          <w:rFonts w:hint="eastAsia" w:ascii="仿宋_GB2312" w:hAnsi="仿宋_GB2312" w:eastAsia="仿宋_GB2312" w:cs="仿宋_GB2312"/>
          <w:color w:val="auto"/>
          <w:sz w:val="28"/>
          <w:szCs w:val="28"/>
          <w:highlight w:val="none"/>
          <w:shd w:val="clear" w:color="auto" w:fill="FFFFFF"/>
        </w:rPr>
        <w:t>。</w:t>
      </w:r>
    </w:p>
    <w:p>
      <w:pPr>
        <w:spacing w:line="560" w:lineRule="exact"/>
        <w:ind w:firstLine="560" w:firstLineChars="200"/>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以上内容除已提供格式的文件外，格式自拟，并须加盖单位公章。</w:t>
      </w:r>
    </w:p>
    <w:p>
      <w:pPr>
        <w:spacing w:line="560" w:lineRule="exact"/>
        <w:ind w:firstLine="560" w:firstLineChars="200"/>
        <w:outlineLvl w:val="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六、成交及签订。</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（一）成交单位接到电话成交通知后10日内，与北京市政务服务和数据管理局办理签订合同事宜。比选服务方案</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报价等作为签订合同的依据，</w:t>
      </w:r>
      <w:r>
        <w:rPr>
          <w:rFonts w:ascii="仿宋_GB2312" w:hAnsi="仿宋_GB2312" w:eastAsia="仿宋_GB2312" w:cs="仿宋_GB2312"/>
          <w:color w:val="auto"/>
          <w:sz w:val="28"/>
          <w:szCs w:val="28"/>
          <w:highlight w:val="none"/>
        </w:rPr>
        <w:t>成交单位</w:t>
      </w:r>
      <w:r>
        <w:rPr>
          <w:rFonts w:hint="eastAsia" w:ascii="仿宋_GB2312" w:hAnsi="仿宋_GB2312" w:eastAsia="仿宋_GB2312" w:cs="仿宋_GB2312"/>
          <w:color w:val="auto"/>
          <w:sz w:val="28"/>
          <w:szCs w:val="28"/>
          <w:highlight w:val="none"/>
        </w:rPr>
        <w:t>按承诺时间提供服务，并出具本单位完税发票。</w:t>
      </w:r>
      <w:r>
        <w:rPr>
          <w:rFonts w:ascii="仿宋_GB2312" w:hAnsi="仿宋_GB2312" w:eastAsia="仿宋_GB2312" w:cs="仿宋_GB2312"/>
          <w:color w:val="auto"/>
          <w:sz w:val="28"/>
          <w:szCs w:val="28"/>
          <w:highlight w:val="none"/>
        </w:rPr>
        <w:t>成交单位</w:t>
      </w:r>
      <w:r>
        <w:rPr>
          <w:rFonts w:hint="eastAsia" w:ascii="仿宋_GB2312" w:hAnsi="仿宋_GB2312" w:eastAsia="仿宋_GB2312" w:cs="仿宋_GB2312"/>
          <w:color w:val="auto"/>
          <w:sz w:val="28"/>
          <w:szCs w:val="28"/>
          <w:highlight w:val="none"/>
        </w:rPr>
        <w:t>如有违约行为将承担法律责任。</w:t>
      </w:r>
    </w:p>
    <w:p>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（二）具体违约条款及其他未尽事宜，详见“第四章  合同条款部分”。</w:t>
      </w:r>
    </w:p>
    <w:p>
      <w:pPr>
        <w:widowControl/>
        <w:spacing w:line="560" w:lineRule="exact"/>
        <w:rPr>
          <w:rFonts w:ascii="仿宋_GB2312" w:hAnsi="仿宋_GB2312" w:eastAsia="仿宋_GB2312" w:cs="仿宋_GB2312"/>
          <w:color w:val="auto"/>
          <w:sz w:val="28"/>
          <w:szCs w:val="28"/>
          <w:highlight w:val="none"/>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spacing w:line="560" w:lineRule="exact"/>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第二章  比选方法和评分标准</w:t>
      </w:r>
    </w:p>
    <w:p>
      <w:pPr>
        <w:pStyle w:val="10"/>
        <w:rPr>
          <w:color w:val="auto"/>
          <w:highlight w:val="none"/>
        </w:rPr>
      </w:pPr>
    </w:p>
    <w:p>
      <w:pPr>
        <w:widowControl/>
        <w:spacing w:line="560" w:lineRule="exact"/>
        <w:jc w:val="left"/>
        <w:rPr>
          <w:rFonts w:hint="eastAsia" w:ascii="仿宋_GB2312" w:eastAsia="仿宋_GB2312"/>
          <w:color w:val="auto"/>
          <w:sz w:val="28"/>
          <w:szCs w:val="28"/>
          <w:highlight w:val="none"/>
        </w:rPr>
      </w:pPr>
      <w:r>
        <w:rPr>
          <w:rFonts w:hint="eastAsia" w:ascii="仿宋_GB2312" w:eastAsia="仿宋_GB2312"/>
          <w:b/>
          <w:color w:val="auto"/>
          <w:sz w:val="28"/>
          <w:szCs w:val="28"/>
          <w:highlight w:val="none"/>
        </w:rPr>
        <w:t>一、比选方法</w:t>
      </w:r>
    </w:p>
    <w:p>
      <w:pPr>
        <w:pStyle w:val="10"/>
        <w:ind w:firstLine="560" w:firstLineChars="200"/>
        <w:rPr>
          <w:color w:val="auto"/>
          <w:highlight w:val="none"/>
        </w:rPr>
      </w:pPr>
      <w:r>
        <w:rPr>
          <w:rFonts w:hint="eastAsia" w:ascii="仿宋_GB2312" w:eastAsia="仿宋_GB2312"/>
          <w:color w:val="auto"/>
          <w:sz w:val="28"/>
          <w:szCs w:val="28"/>
          <w:highlight w:val="none"/>
        </w:rPr>
        <w:t>本次比选采用综合评分法。总分100分，评分分值计算保留小数点后两位，第三位四舍五入。比选小组于比选申请人提交响应文件后，按照符合采购需求、质量和服务且比选最终评分最高等原则确定成交供应商。</w:t>
      </w:r>
    </w:p>
    <w:p>
      <w:pPr>
        <w:widowControl/>
        <w:spacing w:line="560" w:lineRule="exact"/>
        <w:jc w:val="left"/>
        <w:rPr>
          <w:rFonts w:ascii="方正小标宋简体" w:hAnsi="方正小标宋简体" w:eastAsia="方正小标宋简体" w:cs="方正小标宋简体"/>
          <w:bCs/>
          <w:color w:val="auto"/>
          <w:sz w:val="36"/>
          <w:szCs w:val="36"/>
          <w:highlight w:val="none"/>
        </w:rPr>
      </w:pPr>
      <w:r>
        <w:rPr>
          <w:rFonts w:hint="eastAsia" w:ascii="仿宋_GB2312" w:eastAsia="仿宋_GB2312"/>
          <w:b/>
          <w:color w:val="auto"/>
          <w:sz w:val="28"/>
          <w:szCs w:val="28"/>
          <w:highlight w:val="none"/>
        </w:rPr>
        <w:t>二、评分标准</w:t>
      </w:r>
    </w:p>
    <w:tbl>
      <w:tblPr>
        <w:tblStyle w:val="18"/>
        <w:tblW w:w="85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645"/>
        <w:gridCol w:w="6360"/>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trPr>
        <w:tc>
          <w:tcPr>
            <w:tcW w:w="836" w:type="dxa"/>
            <w:shd w:val="clear" w:color="000000"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评审项</w:t>
            </w:r>
          </w:p>
        </w:tc>
        <w:tc>
          <w:tcPr>
            <w:tcW w:w="645" w:type="dxa"/>
            <w:shd w:val="clear" w:color="000000" w:fill="FFFFFF"/>
            <w:noWrap w:val="0"/>
            <w:vAlign w:val="center"/>
          </w:tcPr>
          <w:p>
            <w:pPr>
              <w:keepNext w:val="0"/>
              <w:keepLines w:val="0"/>
              <w:suppressLineNumbers w:val="0"/>
              <w:spacing w:before="0" w:beforeAutospacing="0" w:after="0" w:afterAutospacing="0"/>
              <w:ind w:left="0" w:right="0"/>
              <w:jc w:val="center"/>
              <w:outlineLvl w:val="0"/>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6360" w:type="dxa"/>
            <w:shd w:val="clear" w:color="000000" w:fill="FFFFFF"/>
            <w:noWrap w:val="0"/>
            <w:vAlign w:val="center"/>
          </w:tcPr>
          <w:p>
            <w:pPr>
              <w:keepNext w:val="0"/>
              <w:keepLines w:val="0"/>
              <w:suppressLineNumbers w:val="0"/>
              <w:spacing w:before="0" w:beforeAutospacing="0" w:after="0" w:afterAutospacing="0"/>
              <w:ind w:left="0" w:right="0"/>
              <w:jc w:val="center"/>
              <w:outlineLvl w:val="0"/>
              <w:rPr>
                <w:rFonts w:hint="eastAsia" w:ascii="宋体" w:hAnsi="宋体" w:cs="宋体"/>
                <w:color w:val="auto"/>
                <w:szCs w:val="21"/>
                <w:highlight w:val="none"/>
              </w:rPr>
            </w:pPr>
            <w:r>
              <w:rPr>
                <w:rFonts w:hint="eastAsia" w:ascii="宋体" w:hAnsi="宋体" w:cs="宋体"/>
                <w:color w:val="auto"/>
                <w:szCs w:val="21"/>
                <w:highlight w:val="none"/>
              </w:rPr>
              <w:t>评分标</w:t>
            </w:r>
            <w:r>
              <w:rPr>
                <w:rFonts w:hint="eastAsia" w:ascii="宋体" w:hAnsi="宋体" w:cs="宋体"/>
                <w:color w:val="auto"/>
                <w:highlight w:val="none"/>
              </w:rPr>
              <w:t>准说明</w:t>
            </w:r>
          </w:p>
        </w:tc>
        <w:tc>
          <w:tcPr>
            <w:tcW w:w="739" w:type="dxa"/>
            <w:shd w:val="clear" w:color="000000" w:fill="FFFFFF"/>
            <w:noWrap w:val="0"/>
            <w:vAlign w:val="center"/>
          </w:tcPr>
          <w:p>
            <w:pPr>
              <w:keepNext w:val="0"/>
              <w:keepLines w:val="0"/>
              <w:suppressLineNumbers w:val="0"/>
              <w:spacing w:before="0" w:beforeAutospacing="0" w:after="0" w:afterAutospacing="0"/>
              <w:ind w:left="0" w:right="0"/>
              <w:jc w:val="center"/>
              <w:outlineLvl w:val="0"/>
              <w:rPr>
                <w:rFonts w:hint="eastAsia"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36"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bookmarkStart w:id="2" w:name="RANGE!A1"/>
            <w:r>
              <w:rPr>
                <w:rFonts w:hint="eastAsia" w:ascii="宋体" w:hAnsi="宋体" w:cs="宋体"/>
                <w:color w:val="auto"/>
                <w:kern w:val="0"/>
                <w:szCs w:val="21"/>
                <w:highlight w:val="none"/>
                <w:lang w:bidi="ar"/>
              </w:rPr>
              <w:t>商务部分</w:t>
            </w:r>
            <w:bookmarkEnd w:id="2"/>
          </w:p>
        </w:tc>
        <w:tc>
          <w:tcPr>
            <w:tcW w:w="645"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企业资质情况</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投标人具有有效的</w:t>
            </w:r>
            <w:r>
              <w:rPr>
                <w:rFonts w:hint="default" w:ascii="宋体" w:hAnsi="宋体" w:cs="宋体"/>
                <w:color w:val="auto"/>
                <w:kern w:val="0"/>
                <w:szCs w:val="21"/>
                <w:highlight w:val="none"/>
                <w:lang w:bidi="ar"/>
              </w:rPr>
              <w:t>ISO9001</w:t>
            </w:r>
            <w:r>
              <w:rPr>
                <w:rFonts w:hint="eastAsia" w:ascii="宋体" w:hAnsi="宋体" w:cs="宋体"/>
                <w:color w:val="auto"/>
                <w:kern w:val="0"/>
                <w:szCs w:val="21"/>
                <w:highlight w:val="none"/>
                <w:lang w:bidi="ar"/>
              </w:rPr>
              <w:t>质量管理体系认证证书得2分；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投标人具有有效的ITSS信息技术服务标准符合性证书（运行维护服务)得2分；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投标人具有有效的ISO27001信息安全管理体系认证证书得 2 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投标人具有有效的ISO20000IT服务管理体系认证证书得2分； </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业绩经验</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 w:val="22"/>
                <w:highlight w:val="none"/>
                <w:lang w:bidi="ar"/>
              </w:rPr>
              <w:t>供应商近三年内（从2022年1月1日起至今）从事过政府采购项目业绩的每有1项加2分，直至该项得分加满</w:t>
            </w:r>
            <w:r>
              <w:rPr>
                <w:rFonts w:hint="eastAsia" w:ascii="宋体" w:hAnsi="宋体" w:cs="宋体"/>
                <w:color w:val="auto"/>
                <w:kern w:val="0"/>
                <w:sz w:val="22"/>
                <w:highlight w:val="none"/>
                <w:lang w:eastAsia="zh-Hans" w:bidi="ar"/>
              </w:rPr>
              <w:t>，满分</w:t>
            </w:r>
            <w:r>
              <w:rPr>
                <w:rFonts w:hint="default" w:ascii="宋体" w:hAnsi="宋体" w:cs="宋体"/>
                <w:color w:val="auto"/>
                <w:kern w:val="0"/>
                <w:sz w:val="22"/>
                <w:highlight w:val="none"/>
                <w:lang w:eastAsia="zh-Hans" w:bidi="ar"/>
              </w:rPr>
              <w:t>10</w:t>
            </w:r>
            <w:r>
              <w:rPr>
                <w:rFonts w:hint="eastAsia" w:ascii="宋体" w:hAnsi="宋体" w:cs="宋体"/>
                <w:color w:val="auto"/>
                <w:kern w:val="0"/>
                <w:sz w:val="22"/>
                <w:highlight w:val="none"/>
                <w:lang w:eastAsia="zh-Hans" w:bidi="ar"/>
              </w:rPr>
              <w:t>分</w:t>
            </w:r>
            <w:r>
              <w:rPr>
                <w:rFonts w:hint="eastAsia" w:ascii="宋体" w:hAnsi="宋体" w:cs="宋体"/>
                <w:color w:val="auto"/>
                <w:kern w:val="0"/>
                <w:sz w:val="22"/>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注：需提供业绩证明文件，合同复印件包括合同首页、服务内容页、签章页，否则无效</w:t>
            </w:r>
            <w:r>
              <w:rPr>
                <w:rFonts w:hint="eastAsia" w:ascii="宋体" w:hAnsi="宋体" w:cs="宋体"/>
                <w:color w:val="auto"/>
                <w:kern w:val="0"/>
                <w:szCs w:val="21"/>
                <w:highlight w:val="none"/>
                <w:lang w:eastAsia="zh-CN" w:bidi="ar"/>
              </w:rPr>
              <w:t>。</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836"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项目服务团队</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主要管理、技术人员专业技术能力强、经验丰富，人员配置方案中组织结构合理、专业配置齐全，完全满足项目需求的，得12分；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主要管理、技术人员专业技术能力欠佳、经验欠丰富，人员配置方案中组织结构合理、专业配置欠齐全，满足项目需求的，得8分；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主要管理、技术人员专业技术能力差、经验差，人员配置方案中组织结构欠合理、专业配置欠齐全，得3分；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不提供材料得0分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restart"/>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技术部分</w:t>
            </w: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bookmarkStart w:id="3" w:name="RANGE!B7"/>
            <w:r>
              <w:rPr>
                <w:rFonts w:hint="eastAsia" w:ascii="宋体" w:hAnsi="宋体" w:cs="宋体"/>
                <w:color w:val="auto"/>
                <w:kern w:val="0"/>
                <w:szCs w:val="21"/>
                <w:highlight w:val="none"/>
                <w:lang w:bidi="ar"/>
              </w:rPr>
              <w:t>项目实施方案</w:t>
            </w:r>
            <w:bookmarkEnd w:id="3"/>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项目实施方案内容的完整性和合理性。方案内容全面、计划合理可行，针对性强，得10分；方案内容基本全面、计划合理性较好，得7分；方案内容存在缺陷、计划实施方案差，得3分；无方案得0分。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bookmarkStart w:id="4" w:name="RANGE!B8"/>
            <w:r>
              <w:rPr>
                <w:rFonts w:hint="eastAsia" w:ascii="宋体" w:hAnsi="宋体" w:cs="宋体"/>
                <w:color w:val="auto"/>
                <w:kern w:val="0"/>
                <w:szCs w:val="21"/>
                <w:highlight w:val="none"/>
                <w:lang w:bidi="ar"/>
              </w:rPr>
              <w:t>进度计划</w:t>
            </w:r>
            <w:bookmarkEnd w:id="4"/>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时间进度计划安排合理，可行性强，针对性强，得10分，时间进度计划安排较合理，可行性较好，得7分，时间进度计划安排较差，得3分，无时间进度计划安排，得0分。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售后服务</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bookmarkStart w:id="5" w:name="RANGE!C9"/>
            <w:r>
              <w:rPr>
                <w:rFonts w:hint="eastAsia" w:ascii="宋体" w:hAnsi="宋体" w:cs="宋体"/>
                <w:color w:val="auto"/>
                <w:kern w:val="0"/>
                <w:szCs w:val="21"/>
                <w:highlight w:val="none"/>
                <w:lang w:bidi="ar"/>
              </w:rPr>
              <w:t>售后服务体系完善、提出的售后服务方案完全满足项目要求，针对性强，得10分；售后服务体系较为完善，基本能够满足项目要求，有一定的针对性，得7分；售后服务体系较差，与项目匹配程度较差，得3分；无售后服务体系和方案，得0分。</w:t>
            </w:r>
            <w:bookmarkEnd w:id="5"/>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45"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保障措施</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保障措施可实施性高的，得10分；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保障措施具有一定的可实施性的，得7分；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保障措施可实施性欠佳的，得3分；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未提供保障措施的，得0分。</w:t>
            </w:r>
          </w:p>
        </w:tc>
        <w:tc>
          <w:tcPr>
            <w:tcW w:w="739"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restart"/>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价格部分</w:t>
            </w:r>
          </w:p>
        </w:tc>
        <w:tc>
          <w:tcPr>
            <w:tcW w:w="645"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价格分</w:t>
            </w: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满足响应文件要求且投标价格最低的投标报价为评标基准价，其价格分为满分。</w:t>
            </w:r>
          </w:p>
        </w:tc>
        <w:tc>
          <w:tcPr>
            <w:tcW w:w="739" w:type="dxa"/>
            <w:vMerge w:val="restart"/>
            <w:shd w:val="clear" w:color="000000" w:fill="FFFFFF"/>
            <w:noWrap w:val="0"/>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45"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Cs w:val="21"/>
                <w:highlight w:val="none"/>
              </w:rPr>
            </w:pPr>
          </w:p>
        </w:tc>
        <w:tc>
          <w:tcPr>
            <w:tcW w:w="6360" w:type="dxa"/>
            <w:shd w:val="clear" w:color="000000" w:fill="FFFFFF"/>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其他供应商的价格分统一按照下列公式计算：投标报价得分=(评标基准价／投标报价)×价格权值</w:t>
            </w:r>
          </w:p>
        </w:tc>
        <w:tc>
          <w:tcPr>
            <w:tcW w:w="739" w:type="dxa"/>
            <w:vMerge w:val="continue"/>
            <w:shd w:val="clear" w:color="000000" w:fill="FFFFFF"/>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bl>
    <w:p>
      <w:pPr>
        <w:spacing w:line="560" w:lineRule="exact"/>
        <w:jc w:val="center"/>
        <w:rPr>
          <w:rFonts w:ascii="方正小标宋简体" w:hAnsi="黑体" w:eastAsia="方正小标宋简体"/>
          <w:color w:val="auto"/>
          <w:sz w:val="44"/>
          <w:szCs w:val="44"/>
          <w:highlight w:val="none"/>
        </w:rPr>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720" w:num="1"/>
          <w:titlePg/>
          <w:docGrid w:type="lines" w:linePitch="312" w:charSpace="0"/>
        </w:sectPr>
      </w:pPr>
    </w:p>
    <w:p>
      <w:pPr>
        <w:spacing w:line="560" w:lineRule="exact"/>
        <w:jc w:val="center"/>
        <w:rPr>
          <w:rFonts w:ascii="黑体" w:hAnsi="黑体" w:eastAsia="黑体"/>
          <w:b/>
          <w:color w:val="auto"/>
          <w:sz w:val="44"/>
          <w:szCs w:val="44"/>
          <w:highlight w:val="none"/>
        </w:rPr>
      </w:pPr>
    </w:p>
    <w:p>
      <w:pPr>
        <w:spacing w:line="560" w:lineRule="exact"/>
        <w:jc w:val="center"/>
        <w:rPr>
          <w:rFonts w:ascii="黑体" w:hAnsi="黑体" w:eastAsia="黑体"/>
          <w:b/>
          <w:color w:val="auto"/>
          <w:sz w:val="44"/>
          <w:szCs w:val="44"/>
          <w:highlight w:val="none"/>
        </w:rPr>
      </w:pPr>
    </w:p>
    <w:p>
      <w:pPr>
        <w:widowControl/>
        <w:spacing w:line="600" w:lineRule="exact"/>
        <w:jc w:val="center"/>
        <w:rPr>
          <w:rFonts w:hint="eastAsia" w:ascii="方正小标宋简体" w:hAnsi="方正小标宋简体" w:eastAsia="方正小标宋简体" w:cs="方正小标宋简体"/>
          <w:bCs/>
          <w:color w:val="auto"/>
          <w:sz w:val="36"/>
          <w:szCs w:val="36"/>
          <w:highlight w:val="none"/>
        </w:rPr>
      </w:pPr>
      <w:r>
        <w:rPr>
          <w:rFonts w:hint="eastAsia" w:ascii="方正小标宋简体" w:hAnsi="方正小标宋简体" w:eastAsia="方正小标宋简体" w:cs="方正小标宋简体"/>
          <w:bCs/>
          <w:color w:val="auto"/>
          <w:sz w:val="36"/>
          <w:szCs w:val="36"/>
          <w:highlight w:val="none"/>
        </w:rPr>
        <w:t>北京市政务服务和数据管理局</w:t>
      </w:r>
    </w:p>
    <w:p>
      <w:pPr>
        <w:snapToGrid w:val="0"/>
        <w:spacing w:line="56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36"/>
          <w:szCs w:val="36"/>
          <w:highlight w:val="none"/>
        </w:rPr>
        <w:t>比选结果确认书</w:t>
      </w:r>
    </w:p>
    <w:p>
      <w:pPr>
        <w:snapToGrid w:val="0"/>
        <w:spacing w:line="560" w:lineRule="exact"/>
        <w:jc w:val="center"/>
        <w:rPr>
          <w:rFonts w:ascii="仿宋_GB2312" w:hAnsi="仿宋_GB2312" w:eastAsia="仿宋_GB2312" w:cs="仿宋_GB2312"/>
          <w:color w:val="auto"/>
          <w:sz w:val="32"/>
          <w:szCs w:val="32"/>
          <w:highlight w:val="none"/>
        </w:rPr>
      </w:pPr>
    </w:p>
    <w:p>
      <w:pPr>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北京市政务服务和数据管理局对市政务服务数据资源管理平台(直达专区)政务云基础服务（资源）及云上其他相关服务项目采取比选方式确认服务商，并成立比选小组开展比选工作。根据服务商递交的响应文件，经比选小组评价形成以下意见：</w:t>
      </w:r>
    </w:p>
    <w:p>
      <w:pPr>
        <w:snapToGrid w:val="0"/>
        <w:spacing w:line="560" w:lineRule="exact"/>
        <w:ind w:firstLine="56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建议最终选定由得分最高的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组织实施并开展后续工作。成交金额为人民币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比选小组全体成员签字：</w:t>
      </w: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snapToGrid w:val="0"/>
        <w:spacing w:line="560" w:lineRule="exact"/>
        <w:jc w:val="left"/>
        <w:rPr>
          <w:rFonts w:ascii="仿宋_GB2312" w:hAnsi="仿宋_GB2312" w:eastAsia="仿宋_GB2312" w:cs="仿宋_GB2312"/>
          <w:b/>
          <w:color w:val="auto"/>
          <w:sz w:val="28"/>
          <w:szCs w:val="28"/>
          <w:highlight w:val="none"/>
        </w:rPr>
      </w:pPr>
    </w:p>
    <w:p>
      <w:pPr>
        <w:wordWrap w:val="0"/>
        <w:snapToGrid w:val="0"/>
        <w:spacing w:line="560" w:lineRule="exact"/>
        <w:jc w:val="righ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 xml:space="preserve">年   月   日    </w:t>
      </w:r>
    </w:p>
    <w:p>
      <w:pPr>
        <w:spacing w:line="560" w:lineRule="exact"/>
        <w:jc w:val="center"/>
        <w:rPr>
          <w:rFonts w:ascii="仿宋_GB2312" w:eastAsia="仿宋_GB2312"/>
          <w:color w:val="auto"/>
          <w:sz w:val="28"/>
          <w:szCs w:val="28"/>
          <w:highlight w:val="none"/>
        </w:rPr>
      </w:pPr>
    </w:p>
    <w:p>
      <w:pPr>
        <w:spacing w:line="560" w:lineRule="exact"/>
        <w:rPr>
          <w:b/>
          <w:bCs/>
          <w:color w:val="auto"/>
          <w:sz w:val="44"/>
          <w:szCs w:val="44"/>
          <w:highlight w:val="none"/>
        </w:rPr>
        <w:sectPr>
          <w:pgSz w:w="11906" w:h="16838"/>
          <w:pgMar w:top="1440" w:right="1797" w:bottom="1440" w:left="1797" w:header="851" w:footer="992" w:gutter="0"/>
          <w:cols w:space="720" w:num="1"/>
          <w:titlePg/>
          <w:docGrid w:type="lines" w:linePitch="312" w:charSpace="0"/>
        </w:sectPr>
      </w:pPr>
    </w:p>
    <w:p>
      <w:pPr>
        <w:spacing w:line="560" w:lineRule="exact"/>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第三章  供应商附件</w:t>
      </w:r>
    </w:p>
    <w:p>
      <w:pPr>
        <w:widowControl/>
        <w:spacing w:line="560" w:lineRule="exact"/>
        <w:ind w:firstLine="570"/>
        <w:jc w:val="left"/>
        <w:rPr>
          <w:rFonts w:ascii="仿宋_GB2312" w:eastAsia="仿宋_GB2312"/>
          <w:color w:val="auto"/>
          <w:sz w:val="28"/>
          <w:szCs w:val="28"/>
          <w:highlight w:val="none"/>
        </w:rPr>
      </w:pPr>
    </w:p>
    <w:p>
      <w:pPr>
        <w:widowControl/>
        <w:spacing w:line="560" w:lineRule="exact"/>
        <w:ind w:firstLine="570"/>
        <w:jc w:val="left"/>
        <w:rPr>
          <w:rFonts w:hint="eastAsia" w:ascii="仿宋_GB2312" w:eastAsia="仿宋_GB2312"/>
          <w:color w:val="auto"/>
          <w:sz w:val="28"/>
          <w:szCs w:val="28"/>
          <w:highlight w:val="none"/>
        </w:rPr>
      </w:pPr>
      <w:r>
        <w:rPr>
          <w:rFonts w:ascii="仿宋_GB2312" w:eastAsia="仿宋_GB2312"/>
          <w:color w:val="auto"/>
          <w:sz w:val="28"/>
          <w:szCs w:val="28"/>
          <w:highlight w:val="none"/>
        </w:rPr>
        <w:t>说明</w:t>
      </w:r>
      <w:r>
        <w:rPr>
          <w:rFonts w:hint="eastAsia" w:ascii="仿宋_GB2312" w:eastAsia="仿宋_GB2312"/>
          <w:color w:val="auto"/>
          <w:sz w:val="28"/>
          <w:szCs w:val="28"/>
          <w:highlight w:val="none"/>
        </w:rPr>
        <w:t>：1.供应商应根据下述附件格式填写响应文件，响应文件应保证页码</w:t>
      </w:r>
      <w:r>
        <w:rPr>
          <w:rFonts w:ascii="仿宋_GB2312" w:eastAsia="仿宋_GB2312"/>
          <w:color w:val="auto"/>
          <w:sz w:val="28"/>
          <w:szCs w:val="28"/>
          <w:highlight w:val="none"/>
        </w:rPr>
        <w:t>连续</w:t>
      </w:r>
      <w:r>
        <w:rPr>
          <w:rFonts w:hint="eastAsia" w:ascii="仿宋_GB2312" w:eastAsia="仿宋_GB2312"/>
          <w:color w:val="auto"/>
          <w:sz w:val="28"/>
          <w:szCs w:val="28"/>
          <w:highlight w:val="none"/>
        </w:rPr>
        <w:t>。</w:t>
      </w:r>
      <w:r>
        <w:rPr>
          <w:rFonts w:ascii="仿宋_GB2312" w:eastAsia="仿宋_GB2312"/>
          <w:color w:val="auto"/>
          <w:sz w:val="28"/>
          <w:szCs w:val="28"/>
          <w:highlight w:val="none"/>
        </w:rPr>
        <w:t>2</w:t>
      </w:r>
      <w:r>
        <w:rPr>
          <w:rFonts w:hint="eastAsia" w:ascii="仿宋_GB2312" w:eastAsia="仿宋_GB2312"/>
          <w:color w:val="auto"/>
          <w:sz w:val="28"/>
          <w:szCs w:val="28"/>
          <w:highlight w:val="none"/>
        </w:rPr>
        <w:t>.</w:t>
      </w:r>
      <w:r>
        <w:rPr>
          <w:rFonts w:ascii="仿宋_GB2312" w:eastAsia="仿宋_GB2312"/>
          <w:color w:val="auto"/>
          <w:sz w:val="28"/>
          <w:szCs w:val="28"/>
          <w:highlight w:val="none"/>
        </w:rPr>
        <w:t>供应商应将响应文件逐页加盖公章</w:t>
      </w:r>
      <w:r>
        <w:rPr>
          <w:rFonts w:hint="eastAsia" w:ascii="仿宋_GB2312" w:eastAsia="仿宋_GB2312"/>
          <w:color w:val="auto"/>
          <w:sz w:val="28"/>
          <w:szCs w:val="28"/>
          <w:highlight w:val="none"/>
        </w:rPr>
        <w:t>。其他具体见附件。</w:t>
      </w:r>
    </w:p>
    <w:p>
      <w:pPr>
        <w:widowControl/>
        <w:spacing w:line="560" w:lineRule="exact"/>
        <w:ind w:firstLine="570"/>
        <w:jc w:val="left"/>
        <w:rPr>
          <w:rFonts w:ascii="仿宋_GB2312" w:eastAsia="仿宋_GB2312"/>
          <w:color w:val="auto"/>
          <w:sz w:val="28"/>
          <w:szCs w:val="28"/>
          <w:highlight w:val="none"/>
        </w:rPr>
      </w:pPr>
    </w:p>
    <w:p>
      <w:pPr>
        <w:widowControl/>
        <w:spacing w:line="560" w:lineRule="exact"/>
        <w:ind w:firstLine="57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附件：1.报价表</w:t>
      </w:r>
    </w:p>
    <w:p>
      <w:pPr>
        <w:widowControl/>
        <w:spacing w:line="560" w:lineRule="exact"/>
        <w:ind w:firstLine="1419" w:firstLineChars="507"/>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2.业绩一览表</w:t>
      </w:r>
    </w:p>
    <w:p>
      <w:pPr>
        <w:widowControl/>
        <w:spacing w:line="560" w:lineRule="exact"/>
        <w:ind w:firstLine="1419" w:firstLineChars="507"/>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3.授权委托书及法定代表人身份证明书</w:t>
      </w:r>
    </w:p>
    <w:p>
      <w:pPr>
        <w:widowControl/>
        <w:spacing w:line="560" w:lineRule="exact"/>
        <w:ind w:firstLine="1419" w:firstLineChars="507"/>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4.响应人资格声明书</w:t>
      </w:r>
    </w:p>
    <w:p>
      <w:pPr>
        <w:widowControl/>
        <w:spacing w:line="560" w:lineRule="exact"/>
        <w:ind w:firstLine="1419" w:firstLineChars="507"/>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5.服务方案</w:t>
      </w:r>
    </w:p>
    <w:p>
      <w:pPr>
        <w:widowControl/>
        <w:spacing w:line="560" w:lineRule="exact"/>
        <w:ind w:firstLine="570"/>
        <w:jc w:val="left"/>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pStyle w:val="17"/>
        <w:ind w:firstLine="560"/>
        <w:rPr>
          <w:rFonts w:ascii="宋体" w:hAnsi="宋体"/>
          <w:b/>
          <w:color w:val="auto"/>
          <w:sz w:val="28"/>
          <w:szCs w:val="28"/>
          <w:highlight w:val="none"/>
        </w:rPr>
      </w:pPr>
    </w:p>
    <w:p>
      <w:pPr>
        <w:widowControl/>
        <w:spacing w:line="600" w:lineRule="exact"/>
        <w:jc w:val="left"/>
        <w:outlineLvl w:val="1"/>
        <w:rPr>
          <w:rFonts w:hint="eastAsia" w:ascii="黑体" w:hAnsi="黑体" w:eastAsia="黑体" w:cs="黑体"/>
          <w:bCs/>
          <w:color w:val="auto"/>
          <w:sz w:val="32"/>
          <w:szCs w:val="32"/>
          <w:highlight w:val="none"/>
        </w:rPr>
        <w:sectPr>
          <w:footerReference r:id="rId9" w:type="default"/>
          <w:pgSz w:w="11906" w:h="16838"/>
          <w:pgMar w:top="1440" w:right="1800" w:bottom="1440" w:left="1800" w:header="851" w:footer="992" w:gutter="0"/>
          <w:cols w:space="720" w:num="1"/>
          <w:docGrid w:type="lines" w:linePitch="312" w:charSpace="0"/>
        </w:sectPr>
      </w:pPr>
    </w:p>
    <w:p>
      <w:pPr>
        <w:widowControl/>
        <w:spacing w:line="600" w:lineRule="exact"/>
        <w:jc w:val="left"/>
        <w:rPr>
          <w:b/>
          <w:bCs/>
          <w:color w:val="auto"/>
          <w:sz w:val="44"/>
          <w:szCs w:val="44"/>
          <w:highlight w:val="none"/>
        </w:rPr>
      </w:pPr>
      <w:r>
        <w:rPr>
          <w:rFonts w:hint="eastAsia" w:ascii="黑体" w:hAnsi="黑体" w:eastAsia="黑体" w:cs="黑体"/>
          <w:bCs/>
          <w:color w:val="auto"/>
          <w:sz w:val="32"/>
          <w:szCs w:val="32"/>
          <w:highlight w:val="none"/>
        </w:rPr>
        <w:t xml:space="preserve">附件1  </w:t>
      </w:r>
    </w:p>
    <w:p>
      <w:pPr>
        <w:spacing w:line="600" w:lineRule="exact"/>
        <w:jc w:val="center"/>
        <w:rPr>
          <w:rFonts w:ascii="方正小标宋简体" w:eastAsia="方正小标宋简体"/>
          <w:bCs/>
          <w:color w:val="auto"/>
          <w:sz w:val="36"/>
          <w:szCs w:val="36"/>
          <w:highlight w:val="none"/>
        </w:rPr>
      </w:pPr>
      <w:r>
        <w:rPr>
          <w:rFonts w:hint="eastAsia" w:ascii="方正小标宋简体" w:eastAsia="方正小标宋简体"/>
          <w:bCs/>
          <w:color w:val="auto"/>
          <w:sz w:val="36"/>
          <w:szCs w:val="36"/>
          <w:highlight w:val="none"/>
        </w:rPr>
        <w:t>报价表</w:t>
      </w:r>
    </w:p>
    <w:p>
      <w:pPr>
        <w:spacing w:line="560" w:lineRule="exact"/>
        <w:rPr>
          <w:rFonts w:ascii="仿宋_GB2312" w:eastAsia="仿宋_GB2312"/>
          <w:color w:val="auto"/>
          <w:sz w:val="32"/>
          <w:szCs w:val="32"/>
          <w:highlight w:val="none"/>
        </w:rPr>
      </w:pPr>
    </w:p>
    <w:p>
      <w:pPr>
        <w:spacing w:line="560" w:lineRule="exact"/>
        <w:ind w:left="1400" w:hanging="1400" w:hangingChars="5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项目名称：市政务服务数据资源管理平台(直达专区)政务云基础服务（资源）及云上其他相关服务项目</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9"/>
        <w:gridCol w:w="1778"/>
        <w:gridCol w:w="1853"/>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000" w:type="pct"/>
            <w:gridSpan w:val="4"/>
            <w:noWrap w:val="0"/>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服务内容</w:t>
            </w:r>
          </w:p>
        </w:tc>
        <w:tc>
          <w:tcPr>
            <w:tcW w:w="1043"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单价（元）</w:t>
            </w:r>
          </w:p>
        </w:tc>
        <w:tc>
          <w:tcPr>
            <w:tcW w:w="1087"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数量</w:t>
            </w:r>
          </w:p>
        </w:tc>
        <w:tc>
          <w:tcPr>
            <w:tcW w:w="1109"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p>
        </w:tc>
        <w:tc>
          <w:tcPr>
            <w:tcW w:w="1043"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087"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109"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p>
        </w:tc>
        <w:tc>
          <w:tcPr>
            <w:tcW w:w="1043"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087"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109"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0" w:type="pct"/>
            <w:noWrap w:val="0"/>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Times New Roman"/>
                <w:color w:val="auto"/>
                <w:sz w:val="28"/>
                <w:szCs w:val="28"/>
                <w:highlight w:val="none"/>
              </w:rPr>
            </w:pPr>
          </w:p>
        </w:tc>
        <w:tc>
          <w:tcPr>
            <w:tcW w:w="1043"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087"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c>
          <w:tcPr>
            <w:tcW w:w="1109" w:type="pct"/>
            <w:noWrap w:val="0"/>
            <w:vAlign w:val="center"/>
          </w:tcPr>
          <w:p>
            <w:pPr>
              <w:keepNext w:val="0"/>
              <w:keepLines w:val="0"/>
              <w:suppressLineNumbers w:val="0"/>
              <w:spacing w:before="0" w:beforeAutospacing="0" w:after="0" w:afterAutospacing="0" w:line="560" w:lineRule="exact"/>
              <w:ind w:left="0" w:right="0" w:firstLine="560" w:firstLineChars="200"/>
              <w:rPr>
                <w:rFonts w:hint="default" w:ascii="仿宋_GB2312" w:hAnsi="宋体"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4"/>
            <w:noWrap w:val="0"/>
            <w:vAlign w:val="center"/>
          </w:tcPr>
          <w:p>
            <w:pPr>
              <w:keepNext w:val="0"/>
              <w:keepLines w:val="0"/>
              <w:suppressLineNumbers w:val="0"/>
              <w:spacing w:before="0" w:beforeAutospacing="0" w:after="0" w:afterAutospacing="0" w:line="560" w:lineRule="exact"/>
              <w:ind w:left="0" w:right="0"/>
              <w:jc w:val="right"/>
              <w:rPr>
                <w:rFonts w:hint="default" w:ascii="仿宋_GB2312" w:hAnsi="宋体" w:eastAsia="仿宋_GB2312" w:cs="Times New Roman"/>
                <w:color w:val="auto"/>
                <w:sz w:val="28"/>
                <w:szCs w:val="28"/>
                <w:highlight w:val="none"/>
              </w:rPr>
            </w:pPr>
            <w:r>
              <w:rPr>
                <w:rFonts w:hint="eastAsia" w:ascii="仿宋_GB2312" w:hAnsi="宋体" w:eastAsia="仿宋_GB2312" w:cs="宋体"/>
                <w:color w:val="auto"/>
                <w:sz w:val="28"/>
                <w:szCs w:val="28"/>
                <w:highlight w:val="none"/>
              </w:rPr>
              <w:t>总计：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4"/>
            <w:noWrap w:val="0"/>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报价声明：</w:t>
            </w:r>
          </w:p>
        </w:tc>
      </w:tr>
    </w:tbl>
    <w:p>
      <w:pPr>
        <w:spacing w:line="560" w:lineRule="exact"/>
        <w:rPr>
          <w:rFonts w:ascii="仿宋_GB2312" w:hAnsi="宋体" w:eastAsia="仿宋_GB2312"/>
          <w:color w:val="auto"/>
          <w:sz w:val="28"/>
          <w:szCs w:val="28"/>
          <w:highlight w:val="none"/>
        </w:rPr>
      </w:pPr>
    </w:p>
    <w:p>
      <w:pPr>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报价单位（盖章）：              法定代表人（签字）：</w:t>
      </w:r>
    </w:p>
    <w:p>
      <w:pPr>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联系电话：                      传    真：</w:t>
      </w:r>
    </w:p>
    <w:p>
      <w:pPr>
        <w:spacing w:line="560" w:lineRule="exact"/>
        <w:rPr>
          <w:rFonts w:ascii="仿宋_GB2312" w:hAnsi="宋体" w:eastAsia="仿宋_GB2312"/>
          <w:color w:val="auto"/>
          <w:sz w:val="28"/>
          <w:szCs w:val="28"/>
          <w:highlight w:val="none"/>
        </w:rPr>
      </w:pPr>
    </w:p>
    <w:p>
      <w:pPr>
        <w:wordWrap w:val="0"/>
        <w:spacing w:line="560" w:lineRule="exact"/>
        <w:jc w:val="righ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2025年  月    日</w:t>
      </w:r>
    </w:p>
    <w:p>
      <w:pPr>
        <w:widowControl/>
        <w:spacing w:line="600" w:lineRule="atLeast"/>
        <w:jc w:val="left"/>
        <w:rPr>
          <w:rFonts w:ascii="宋体" w:hAnsi="宋体"/>
          <w:b/>
          <w:color w:val="auto"/>
          <w:sz w:val="28"/>
          <w:szCs w:val="28"/>
          <w:highlight w:val="none"/>
        </w:rPr>
      </w:pPr>
      <w:r>
        <w:rPr>
          <w:rFonts w:ascii="仿宋_GB2312" w:hAnsi="宋体" w:eastAsia="仿宋_GB2312"/>
          <w:color w:val="auto"/>
          <w:sz w:val="32"/>
          <w:szCs w:val="32"/>
          <w:highlight w:val="none"/>
        </w:rPr>
        <w:br w:type="page"/>
      </w:r>
      <w:r>
        <w:rPr>
          <w:rFonts w:hint="eastAsia" w:ascii="黑体" w:hAnsi="黑体" w:eastAsia="黑体" w:cs="黑体"/>
          <w:bCs/>
          <w:color w:val="auto"/>
          <w:sz w:val="32"/>
          <w:szCs w:val="32"/>
          <w:highlight w:val="none"/>
        </w:rPr>
        <w:t xml:space="preserve">附件2  </w:t>
      </w:r>
    </w:p>
    <w:p>
      <w:pPr>
        <w:widowControl/>
        <w:spacing w:line="600" w:lineRule="atLeast"/>
        <w:jc w:val="center"/>
        <w:rPr>
          <w:rFonts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业绩一览表</w:t>
      </w:r>
    </w:p>
    <w:p>
      <w:pPr>
        <w:widowControl/>
        <w:spacing w:line="720" w:lineRule="auto"/>
        <w:ind w:firstLine="570"/>
        <w:jc w:val="center"/>
        <w:rPr>
          <w:rFonts w:ascii="黑体" w:hAnsi="黑体" w:eastAsia="黑体"/>
          <w:b/>
          <w:color w:val="auto"/>
          <w:sz w:val="40"/>
          <w:szCs w:val="44"/>
          <w:highlight w:val="none"/>
        </w:rPr>
      </w:pP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032"/>
        <w:gridCol w:w="1892"/>
        <w:gridCol w:w="1861"/>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序号</w:t>
            </w: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项目名称</w:t>
            </w: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委托单位</w:t>
            </w: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服务内容</w:t>
            </w: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10"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092"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c>
          <w:tcPr>
            <w:tcW w:w="1127" w:type="pct"/>
            <w:noWrap w:val="0"/>
            <w:vAlign w:val="top"/>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color w:val="auto"/>
                <w:sz w:val="28"/>
                <w:szCs w:val="28"/>
                <w:highlight w:val="none"/>
              </w:rPr>
            </w:pPr>
          </w:p>
        </w:tc>
      </w:tr>
    </w:tbl>
    <w:p>
      <w:pPr>
        <w:widowControl/>
        <w:ind w:firstLine="570"/>
        <w:jc w:val="left"/>
        <w:rPr>
          <w:rFonts w:ascii="仿宋_GB2312" w:hAnsi="宋体" w:eastAsia="仿宋_GB2312"/>
          <w:b/>
          <w:color w:val="auto"/>
          <w:sz w:val="28"/>
          <w:szCs w:val="28"/>
          <w:highlight w:val="none"/>
        </w:rPr>
      </w:pPr>
    </w:p>
    <w:p>
      <w:pPr>
        <w:widowControl/>
        <w:jc w:val="left"/>
        <w:rPr>
          <w:rFonts w:ascii="宋体" w:hAnsi="Courier New"/>
          <w:color w:val="auto"/>
          <w:highlight w:val="none"/>
        </w:rPr>
      </w:pPr>
      <w:r>
        <w:rPr>
          <w:rFonts w:ascii="仿宋_GB2312" w:eastAsia="仿宋_GB2312"/>
          <w:color w:val="auto"/>
          <w:sz w:val="28"/>
          <w:szCs w:val="28"/>
          <w:highlight w:val="none"/>
        </w:rPr>
        <w:br w:type="page"/>
      </w:r>
      <w:r>
        <w:rPr>
          <w:rFonts w:hint="eastAsia" w:ascii="黑体" w:hAnsi="黑体" w:eastAsia="黑体" w:cs="黑体"/>
          <w:bCs/>
          <w:color w:val="auto"/>
          <w:sz w:val="32"/>
          <w:szCs w:val="32"/>
          <w:highlight w:val="none"/>
        </w:rPr>
        <w:t>附件3</w:t>
      </w:r>
    </w:p>
    <w:p>
      <w:pPr>
        <w:widowControl/>
        <w:spacing w:line="560" w:lineRule="exact"/>
        <w:ind w:firstLine="562" w:firstLineChars="200"/>
        <w:rPr>
          <w:rFonts w:ascii="方正小标宋简体" w:hAnsi="黑体" w:eastAsia="仿宋_GB2312"/>
          <w:b/>
          <w:bCs/>
          <w:color w:val="auto"/>
          <w:sz w:val="28"/>
          <w:szCs w:val="28"/>
          <w:highlight w:val="none"/>
        </w:rPr>
      </w:pPr>
      <w:r>
        <w:rPr>
          <w:rFonts w:hint="eastAsia" w:ascii="仿宋_GB2312" w:eastAsia="仿宋_GB2312"/>
          <w:b/>
          <w:bCs/>
          <w:color w:val="auto"/>
          <w:sz w:val="28"/>
          <w:szCs w:val="28"/>
          <w:highlight w:val="none"/>
        </w:rPr>
        <w:t>说明：</w:t>
      </w:r>
      <w:r>
        <w:rPr>
          <w:rFonts w:hint="eastAsia" w:ascii="仿宋_GB2312" w:eastAsia="仿宋_GB2312"/>
          <w:color w:val="auto"/>
          <w:sz w:val="28"/>
          <w:szCs w:val="28"/>
          <w:highlight w:val="none"/>
        </w:rPr>
        <w:t>非法定代表人</w:t>
      </w:r>
      <w:r>
        <w:rPr>
          <w:rFonts w:hint="eastAsia" w:ascii="仿宋_GB2312" w:eastAsia="仿宋_GB2312"/>
          <w:color w:val="auto"/>
          <w:sz w:val="28"/>
          <w:szCs w:val="28"/>
          <w:highlight w:val="none"/>
          <w:lang w:eastAsia="zh-Hans"/>
        </w:rPr>
        <w:t>参加比选需提供</w:t>
      </w:r>
      <w:r>
        <w:rPr>
          <w:rFonts w:hint="eastAsia" w:ascii="仿宋_GB2312" w:eastAsia="仿宋_GB2312"/>
          <w:color w:val="auto"/>
          <w:sz w:val="28"/>
          <w:szCs w:val="28"/>
          <w:highlight w:val="none"/>
        </w:rPr>
        <w:t>授权委托书，法定代表人</w:t>
      </w:r>
      <w:r>
        <w:rPr>
          <w:rFonts w:hint="eastAsia" w:ascii="仿宋_GB2312" w:eastAsia="仿宋_GB2312"/>
          <w:color w:val="auto"/>
          <w:sz w:val="28"/>
          <w:szCs w:val="28"/>
          <w:highlight w:val="none"/>
          <w:lang w:eastAsia="zh-Hans"/>
        </w:rPr>
        <w:t>参加比选需</w:t>
      </w:r>
      <w:r>
        <w:rPr>
          <w:rFonts w:hint="eastAsia" w:ascii="仿宋_GB2312" w:eastAsia="仿宋_GB2312"/>
          <w:color w:val="auto"/>
          <w:sz w:val="28"/>
          <w:szCs w:val="28"/>
          <w:highlight w:val="none"/>
        </w:rPr>
        <w:t>提供法定代表人</w:t>
      </w:r>
      <w:r>
        <w:rPr>
          <w:rFonts w:hint="eastAsia" w:ascii="仿宋_GB2312" w:eastAsia="仿宋_GB2312"/>
          <w:color w:val="auto"/>
          <w:sz w:val="28"/>
          <w:szCs w:val="28"/>
          <w:highlight w:val="none"/>
          <w:lang w:eastAsia="zh-Hans"/>
        </w:rPr>
        <w:t>身份证明书</w:t>
      </w:r>
      <w:r>
        <w:rPr>
          <w:rFonts w:hint="eastAsia" w:ascii="仿宋_GB2312" w:eastAsia="仿宋_GB2312"/>
          <w:color w:val="auto"/>
          <w:sz w:val="28"/>
          <w:szCs w:val="28"/>
          <w:highlight w:val="none"/>
        </w:rPr>
        <w:t>！</w:t>
      </w:r>
    </w:p>
    <w:p>
      <w:pPr>
        <w:spacing w:line="560" w:lineRule="exact"/>
        <w:ind w:firstLine="570"/>
        <w:jc w:val="left"/>
        <w:rPr>
          <w:rFonts w:ascii="仿宋_GB2312" w:eastAsia="仿宋_GB2312"/>
          <w:color w:val="auto"/>
          <w:sz w:val="28"/>
          <w:szCs w:val="28"/>
          <w:highlight w:val="none"/>
        </w:rPr>
      </w:pPr>
    </w:p>
    <w:p>
      <w:pPr>
        <w:widowControl/>
        <w:spacing w:line="720" w:lineRule="auto"/>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授权委托书</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注册于（国家或地区的名称：___________）的（单位名称：___________）授权（单位名称：___________）的（被授权人的姓名：___________）（身份证号：___________）为本单位的合法代理人，就（项目名称：___________）的</w:t>
      </w:r>
      <w:r>
        <w:rPr>
          <w:rFonts w:hint="eastAsia" w:ascii="仿宋_GB2312" w:eastAsia="仿宋_GB2312"/>
          <w:color w:val="auto"/>
          <w:sz w:val="28"/>
          <w:szCs w:val="28"/>
          <w:highlight w:val="none"/>
          <w:lang w:eastAsia="zh-Hans"/>
        </w:rPr>
        <w:t>比选</w:t>
      </w:r>
      <w:r>
        <w:rPr>
          <w:rFonts w:hint="eastAsia" w:ascii="仿宋_GB2312" w:eastAsia="仿宋_GB2312"/>
          <w:color w:val="auto"/>
          <w:sz w:val="28"/>
          <w:szCs w:val="28"/>
          <w:highlight w:val="none"/>
        </w:rPr>
        <w:t>，以本单位名义处理一切与之有关的事务。</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本授权书</w:t>
      </w:r>
      <w:r>
        <w:rPr>
          <w:rFonts w:hint="eastAsia" w:ascii="仿宋_GB2312" w:eastAsia="仿宋_GB2312"/>
          <w:color w:val="auto"/>
          <w:sz w:val="28"/>
          <w:szCs w:val="28"/>
          <w:highlight w:val="none"/>
          <w:lang w:eastAsia="zh-Hans"/>
        </w:rPr>
        <w:t>有效期自</w:t>
      </w:r>
      <w:r>
        <w:rPr>
          <w:rFonts w:hint="eastAsia" w:ascii="仿宋_GB2312" w:eastAsia="仿宋_GB2312"/>
          <w:color w:val="auto"/>
          <w:sz w:val="28"/>
          <w:szCs w:val="28"/>
          <w:highlight w:val="none"/>
        </w:rPr>
        <w:t>____年__月__日</w:t>
      </w:r>
      <w:r>
        <w:rPr>
          <w:rFonts w:hint="eastAsia" w:ascii="仿宋_GB2312" w:eastAsia="仿宋_GB2312"/>
          <w:color w:val="auto"/>
          <w:sz w:val="28"/>
          <w:szCs w:val="28"/>
          <w:highlight w:val="none"/>
          <w:lang w:eastAsia="zh-Hans"/>
        </w:rPr>
        <w:t>起至  年 月  日止</w:t>
      </w:r>
      <w:r>
        <w:rPr>
          <w:rFonts w:hint="eastAsia" w:ascii="仿宋_GB2312" w:eastAsia="仿宋_GB2312"/>
          <w:color w:val="auto"/>
          <w:sz w:val="28"/>
          <w:szCs w:val="28"/>
          <w:highlight w:val="none"/>
        </w:rPr>
        <w:t>。</w:t>
      </w:r>
    </w:p>
    <w:p>
      <w:pPr>
        <w:spacing w:line="560" w:lineRule="exact"/>
        <w:jc w:val="left"/>
        <w:rPr>
          <w:rFonts w:ascii="仿宋_GB2312" w:eastAsia="仿宋_GB2312"/>
          <w:color w:val="auto"/>
          <w:sz w:val="28"/>
          <w:szCs w:val="28"/>
          <w:highlight w:val="none"/>
        </w:rPr>
      </w:pP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报价人</w:t>
      </w:r>
      <w:r>
        <w:rPr>
          <w:rFonts w:hint="eastAsia" w:ascii="仿宋_GB2312" w:eastAsia="仿宋_GB2312"/>
          <w:color w:val="auto"/>
          <w:sz w:val="28"/>
          <w:szCs w:val="28"/>
          <w:highlight w:val="none"/>
          <w:lang w:eastAsia="zh-Hans"/>
        </w:rPr>
        <w:t>（盖章）</w:t>
      </w:r>
      <w:r>
        <w:rPr>
          <w:rFonts w:hint="eastAsia" w:ascii="仿宋_GB2312" w:eastAsia="仿宋_GB2312"/>
          <w:color w:val="auto"/>
          <w:sz w:val="28"/>
          <w:szCs w:val="28"/>
          <w:highlight w:val="none"/>
        </w:rPr>
        <w:t>：_________________________________</w:t>
      </w:r>
    </w:p>
    <w:p>
      <w:pPr>
        <w:spacing w:line="560" w:lineRule="exact"/>
        <w:ind w:firstLine="570"/>
        <w:jc w:val="left"/>
        <w:rPr>
          <w:rFonts w:ascii="仿宋_GB2312" w:eastAsia="仿宋_GB2312"/>
          <w:color w:val="auto"/>
          <w:sz w:val="28"/>
          <w:szCs w:val="28"/>
          <w:highlight w:val="none"/>
          <w:lang w:eastAsia="zh-Hans"/>
        </w:rPr>
      </w:pPr>
      <w:r>
        <w:rPr>
          <w:rFonts w:hint="eastAsia" w:ascii="仿宋_GB2312" w:eastAsia="仿宋_GB2312"/>
          <w:color w:val="auto"/>
          <w:sz w:val="28"/>
          <w:szCs w:val="28"/>
          <w:highlight w:val="none"/>
          <w:lang w:eastAsia="zh-Hans"/>
        </w:rPr>
        <w:t>法定代表人（签字或签章）：</w:t>
      </w:r>
    </w:p>
    <w:p>
      <w:pPr>
        <w:spacing w:line="560" w:lineRule="exact"/>
        <w:ind w:firstLine="570"/>
        <w:jc w:val="left"/>
        <w:rPr>
          <w:rFonts w:ascii="仿宋_GB2312" w:eastAsia="仿宋_GB2312"/>
          <w:color w:val="auto"/>
          <w:sz w:val="28"/>
          <w:szCs w:val="28"/>
          <w:highlight w:val="none"/>
          <w:lang w:eastAsia="zh-Hans"/>
        </w:rPr>
      </w:pPr>
      <w:r>
        <w:rPr>
          <w:rFonts w:hint="eastAsia" w:ascii="仿宋_GB2312" w:eastAsia="仿宋_GB2312"/>
          <w:color w:val="auto"/>
          <w:sz w:val="28"/>
          <w:szCs w:val="28"/>
          <w:highlight w:val="none"/>
          <w:lang w:eastAsia="zh-Hans"/>
        </w:rPr>
        <w:t>被授权人（签字）：</w:t>
      </w:r>
    </w:p>
    <w:p>
      <w:pPr>
        <w:spacing w:line="560" w:lineRule="exact"/>
        <w:rPr>
          <w:rFonts w:ascii="仿宋_GB2312" w:eastAsia="仿宋_GB2312"/>
          <w:color w:val="auto"/>
          <w:sz w:val="28"/>
          <w:szCs w:val="28"/>
          <w:highlight w:val="none"/>
        </w:rPr>
      </w:pPr>
    </w:p>
    <w:p>
      <w:pPr>
        <w:widowControl/>
        <w:spacing w:line="720" w:lineRule="auto"/>
        <w:jc w:val="center"/>
        <w:rPr>
          <w:rFonts w:hint="eastAsia" w:ascii="方正小标宋简体" w:hAnsi="黑体" w:eastAsia="方正小标宋简体"/>
          <w:color w:val="auto"/>
          <w:sz w:val="36"/>
          <w:szCs w:val="36"/>
          <w:highlight w:val="none"/>
          <w:lang w:eastAsia="zh-Hans"/>
        </w:rPr>
      </w:pPr>
      <w:r>
        <w:rPr>
          <w:rFonts w:hint="eastAsia" w:ascii="方正小标宋简体" w:hAnsi="黑体" w:eastAsia="方正小标宋简体"/>
          <w:color w:val="auto"/>
          <w:sz w:val="36"/>
          <w:szCs w:val="36"/>
          <w:highlight w:val="none"/>
        </w:rPr>
        <w:t>法定代表人</w:t>
      </w:r>
      <w:r>
        <w:rPr>
          <w:rFonts w:hint="eastAsia" w:ascii="方正小标宋简体" w:hAnsi="黑体" w:eastAsia="方正小标宋简体"/>
          <w:color w:val="auto"/>
          <w:sz w:val="36"/>
          <w:szCs w:val="36"/>
          <w:highlight w:val="none"/>
          <w:lang w:eastAsia="zh-Hans"/>
        </w:rPr>
        <w:t>身份证明书</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本人（姓名：___________）（身份证号：___________）系（单位名称：___________）的法定代表人，现就（项目名称：___________）的</w:t>
      </w:r>
      <w:r>
        <w:rPr>
          <w:rFonts w:hint="eastAsia" w:ascii="仿宋_GB2312" w:eastAsia="仿宋_GB2312"/>
          <w:color w:val="auto"/>
          <w:sz w:val="28"/>
          <w:szCs w:val="28"/>
          <w:highlight w:val="none"/>
          <w:lang w:eastAsia="zh-Hans"/>
        </w:rPr>
        <w:t>比选</w:t>
      </w:r>
      <w:r>
        <w:rPr>
          <w:rFonts w:hint="eastAsia" w:ascii="仿宋_GB2312" w:eastAsia="仿宋_GB2312"/>
          <w:color w:val="auto"/>
          <w:sz w:val="28"/>
          <w:szCs w:val="28"/>
          <w:highlight w:val="none"/>
        </w:rPr>
        <w:t>，代表本单位处理一切与之有关的事务。</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特此</w:t>
      </w:r>
      <w:r>
        <w:rPr>
          <w:rFonts w:hint="eastAsia" w:ascii="仿宋_GB2312" w:eastAsia="仿宋_GB2312"/>
          <w:color w:val="auto"/>
          <w:sz w:val="28"/>
          <w:szCs w:val="28"/>
          <w:highlight w:val="none"/>
          <w:lang w:eastAsia="zh-Hans"/>
        </w:rPr>
        <w:t>证明</w:t>
      </w:r>
      <w:r>
        <w:rPr>
          <w:rFonts w:hint="eastAsia" w:ascii="仿宋_GB2312" w:eastAsia="仿宋_GB2312"/>
          <w:color w:val="auto"/>
          <w:sz w:val="28"/>
          <w:szCs w:val="28"/>
          <w:highlight w:val="none"/>
        </w:rPr>
        <w:t>。</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eastAsia="zh-Hans"/>
        </w:rPr>
        <w:t>（</w:t>
      </w:r>
      <w:r>
        <w:rPr>
          <w:rFonts w:hint="eastAsia" w:ascii="仿宋_GB2312" w:eastAsia="仿宋_GB2312"/>
          <w:color w:val="auto"/>
          <w:sz w:val="28"/>
          <w:szCs w:val="28"/>
          <w:highlight w:val="none"/>
        </w:rPr>
        <w:t>签字或</w:t>
      </w:r>
      <w:r>
        <w:rPr>
          <w:rFonts w:hint="eastAsia" w:ascii="仿宋_GB2312" w:eastAsia="仿宋_GB2312"/>
          <w:color w:val="auto"/>
          <w:sz w:val="28"/>
          <w:szCs w:val="28"/>
          <w:highlight w:val="none"/>
          <w:lang w:eastAsia="zh-Hans"/>
        </w:rPr>
        <w:t>签</w:t>
      </w:r>
      <w:r>
        <w:rPr>
          <w:rFonts w:hint="eastAsia" w:ascii="仿宋_GB2312" w:eastAsia="仿宋_GB2312"/>
          <w:color w:val="auto"/>
          <w:sz w:val="28"/>
          <w:szCs w:val="28"/>
          <w:highlight w:val="none"/>
        </w:rPr>
        <w:t>章）：</w:t>
      </w:r>
    </w:p>
    <w:p>
      <w:pPr>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lang w:eastAsia="zh-Hans"/>
        </w:rPr>
        <w:br w:type="page"/>
      </w:r>
      <w:r>
        <w:rPr>
          <w:rFonts w:hint="eastAsia" w:ascii="仿宋_GB2312" w:eastAsia="仿宋_GB2312"/>
          <w:b/>
          <w:color w:val="auto"/>
          <w:sz w:val="32"/>
          <w:szCs w:val="32"/>
          <w:highlight w:val="none"/>
          <w:lang w:eastAsia="zh-Hans"/>
        </w:rPr>
        <w:t>附件</w:t>
      </w:r>
      <w:r>
        <w:rPr>
          <w:rFonts w:hint="eastAsia" w:ascii="仿宋_GB2312" w:eastAsia="仿宋_GB2312"/>
          <w:b/>
          <w:color w:val="auto"/>
          <w:sz w:val="32"/>
          <w:szCs w:val="32"/>
          <w:highlight w:val="none"/>
        </w:rPr>
        <w:t xml:space="preserve">4 </w:t>
      </w:r>
      <w:r>
        <w:rPr>
          <w:rFonts w:hint="eastAsia" w:ascii="仿宋_GB2312" w:eastAsia="仿宋_GB2312"/>
          <w:b/>
          <w:color w:val="auto"/>
          <w:sz w:val="28"/>
          <w:szCs w:val="28"/>
          <w:highlight w:val="none"/>
        </w:rPr>
        <w:t xml:space="preserve"> </w:t>
      </w:r>
    </w:p>
    <w:p>
      <w:pPr>
        <w:widowControl/>
        <w:spacing w:line="720" w:lineRule="auto"/>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响应人资格声明书</w:t>
      </w:r>
    </w:p>
    <w:p>
      <w:pPr>
        <w:spacing w:line="56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致：采购人</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在参与本次项目响应中，我单位承诺：</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（一）</w:t>
      </w:r>
      <w:r>
        <w:rPr>
          <w:rFonts w:ascii="仿宋_GB2312" w:eastAsia="仿宋_GB2312"/>
          <w:color w:val="auto"/>
          <w:sz w:val="28"/>
          <w:szCs w:val="28"/>
          <w:highlight w:val="none"/>
        </w:rPr>
        <w:tab/>
      </w:r>
      <w:r>
        <w:rPr>
          <w:rFonts w:hint="eastAsia" w:ascii="仿宋_GB2312" w:eastAsia="仿宋_GB2312"/>
          <w:color w:val="auto"/>
          <w:sz w:val="28"/>
          <w:szCs w:val="28"/>
          <w:highlight w:val="none"/>
        </w:rPr>
        <w:t>具有良好的商业信誉和健全的财务会计制度；</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（二）</w:t>
      </w:r>
      <w:r>
        <w:rPr>
          <w:rFonts w:ascii="仿宋_GB2312" w:eastAsia="仿宋_GB2312"/>
          <w:color w:val="auto"/>
          <w:sz w:val="28"/>
          <w:szCs w:val="28"/>
          <w:highlight w:val="none"/>
        </w:rPr>
        <w:tab/>
      </w:r>
      <w:r>
        <w:rPr>
          <w:rFonts w:hint="eastAsia" w:ascii="仿宋_GB2312" w:eastAsia="仿宋_GB2312"/>
          <w:color w:val="auto"/>
          <w:sz w:val="28"/>
          <w:szCs w:val="28"/>
          <w:highlight w:val="none"/>
        </w:rPr>
        <w:t>具有履行合同所必需的设备和专业技术能力；</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（三）</w:t>
      </w:r>
      <w:r>
        <w:rPr>
          <w:rFonts w:ascii="仿宋_GB2312" w:eastAsia="仿宋_GB2312"/>
          <w:color w:val="auto"/>
          <w:sz w:val="28"/>
          <w:szCs w:val="28"/>
          <w:highlight w:val="none"/>
        </w:rPr>
        <w:tab/>
      </w:r>
      <w:r>
        <w:rPr>
          <w:rFonts w:hint="eastAsia" w:ascii="仿宋_GB2312" w:eastAsia="仿宋_GB2312"/>
          <w:color w:val="auto"/>
          <w:sz w:val="28"/>
          <w:szCs w:val="28"/>
          <w:highlight w:val="none"/>
        </w:rPr>
        <w:t>有依法缴纳税收和社会保障资金的良好记录；</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四</w:t>
      </w:r>
      <w:r>
        <w:rPr>
          <w:rFonts w:hint="eastAsia" w:ascii="仿宋_GB2312" w:eastAsia="仿宋_GB2312"/>
          <w:color w:val="auto"/>
          <w:sz w:val="28"/>
          <w:szCs w:val="28"/>
          <w:highlight w:val="none"/>
        </w:rPr>
        <w:t>）</w:t>
      </w:r>
      <w:r>
        <w:rPr>
          <w:rFonts w:ascii="仿宋_GB2312" w:eastAsia="仿宋_GB2312"/>
          <w:color w:val="auto"/>
          <w:sz w:val="28"/>
          <w:szCs w:val="28"/>
          <w:highlight w:val="none"/>
        </w:rPr>
        <w:tab/>
      </w:r>
      <w:r>
        <w:rPr>
          <w:rFonts w:hint="eastAsia" w:ascii="仿宋_GB2312" w:eastAsia="仿宋_GB2312"/>
          <w:color w:val="auto"/>
          <w:sz w:val="28"/>
          <w:szCs w:val="28"/>
          <w:highlight w:val="none"/>
        </w:rPr>
        <w:t>参加政府采购活动前三年内，在经营活动中没有重大违法记录；</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五</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我单位不属于政府采购法律、行政法规规定的公益一类事业单位、或使用事业编制且由财政拨款保障的群团组织；</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六</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我单位不存在为采购项目提供整体设计、规范编制或者项目管理、监理、检测等服务后，再参加该采购项目的其他采购活动的情形；</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Hans"/>
        </w:rPr>
        <w:t>七</w:t>
      </w:r>
      <w:r>
        <w:rPr>
          <w:rFonts w:hint="eastAsia" w:ascii="仿宋_GB2312" w:eastAsia="仿宋_GB2312"/>
          <w:color w:val="auto"/>
          <w:sz w:val="28"/>
          <w:szCs w:val="28"/>
          <w:highlight w:val="none"/>
        </w:rPr>
        <w:t>）我单位不存在不能参加本项目采购的其他情形。</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上述声明真实有效，否则我方负全部责任。</w:t>
      </w:r>
    </w:p>
    <w:p>
      <w:pPr>
        <w:spacing w:line="560" w:lineRule="exact"/>
        <w:ind w:firstLine="570"/>
        <w:jc w:val="left"/>
        <w:rPr>
          <w:rFonts w:ascii="仿宋_GB2312" w:eastAsia="仿宋_GB2312"/>
          <w:color w:val="auto"/>
          <w:sz w:val="28"/>
          <w:szCs w:val="28"/>
          <w:highlight w:val="none"/>
        </w:rPr>
      </w:pPr>
    </w:p>
    <w:p>
      <w:pPr>
        <w:spacing w:line="560" w:lineRule="exact"/>
        <w:ind w:firstLine="570"/>
        <w:jc w:val="right"/>
        <w:rPr>
          <w:rFonts w:ascii="仿宋_GB2312" w:eastAsia="仿宋_GB2312"/>
          <w:color w:val="auto"/>
          <w:sz w:val="28"/>
          <w:szCs w:val="28"/>
          <w:highlight w:val="none"/>
        </w:rPr>
      </w:pPr>
      <w:r>
        <w:rPr>
          <w:rFonts w:hint="eastAsia" w:ascii="仿宋_GB2312" w:eastAsia="仿宋_GB2312"/>
          <w:color w:val="auto"/>
          <w:sz w:val="28"/>
          <w:szCs w:val="28"/>
          <w:highlight w:val="none"/>
        </w:rPr>
        <w:t>响应人名称（加盖公章）：____________</w:t>
      </w:r>
    </w:p>
    <w:p>
      <w:pPr>
        <w:spacing w:line="560" w:lineRule="exact"/>
        <w:ind w:right="1120" w:firstLine="57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日期：_____年___月___日</w:t>
      </w:r>
      <w:r>
        <w:rPr>
          <w:rFonts w:ascii="仿宋_GB2312" w:eastAsia="仿宋_GB2312"/>
          <w:color w:val="auto"/>
          <w:sz w:val="28"/>
          <w:szCs w:val="28"/>
          <w:highlight w:val="none"/>
        </w:rPr>
        <w:t xml:space="preserve">   </w:t>
      </w:r>
    </w:p>
    <w:p>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说明：供应商承诺不实的，参照《政府采购法》第七十七条“提供虚假材料谋取中标、成交的”有关规定予以处理。</w:t>
      </w:r>
    </w:p>
    <w:p>
      <w:pPr>
        <w:pStyle w:val="17"/>
        <w:ind w:left="0" w:leftChars="0" w:firstLine="0" w:firstLineChars="0"/>
        <w:rPr>
          <w:color w:val="auto"/>
          <w:highlight w:val="none"/>
        </w:rPr>
      </w:pPr>
    </w:p>
    <w:p>
      <w:pPr>
        <w:widowControl/>
        <w:jc w:val="left"/>
        <w:rPr>
          <w:rFonts w:ascii="仿宋_GB2312" w:hAnsi="宋体" w:eastAsia="仿宋_GB2312"/>
          <w:b/>
          <w:color w:val="auto"/>
          <w:sz w:val="28"/>
          <w:szCs w:val="28"/>
          <w:highlight w:val="none"/>
        </w:rPr>
      </w:pPr>
      <w:r>
        <w:rPr>
          <w:rFonts w:ascii="仿宋_GB2312" w:hAnsi="宋体" w:eastAsia="仿宋_GB2312"/>
          <w:b/>
          <w:color w:val="auto"/>
          <w:sz w:val="28"/>
          <w:szCs w:val="28"/>
          <w:highlight w:val="none"/>
        </w:rPr>
        <w:br w:type="page"/>
      </w:r>
    </w:p>
    <w:p>
      <w:pPr>
        <w:autoSpaceDE w:val="0"/>
        <w:autoSpaceDN w:val="0"/>
        <w:spacing w:line="600" w:lineRule="exact"/>
        <w:ind w:right="-36"/>
        <w:textAlignment w:val="bottom"/>
        <w:rPr>
          <w:rFonts w:hint="eastAsia" w:ascii="仿宋_GB2312" w:eastAsia="仿宋_GB2312"/>
          <w:b/>
          <w:color w:val="auto"/>
          <w:sz w:val="28"/>
          <w:szCs w:val="28"/>
          <w:highlight w:val="none"/>
        </w:rPr>
      </w:pPr>
      <w:r>
        <w:rPr>
          <w:rFonts w:hint="eastAsia" w:ascii="仿宋_GB2312" w:eastAsia="仿宋_GB2312"/>
          <w:b/>
          <w:color w:val="auto"/>
          <w:sz w:val="32"/>
          <w:szCs w:val="32"/>
          <w:highlight w:val="none"/>
          <w:lang w:eastAsia="zh-Hans"/>
        </w:rPr>
        <w:t>附件</w:t>
      </w:r>
      <w:r>
        <w:rPr>
          <w:rFonts w:hint="eastAsia" w:ascii="仿宋_GB2312" w:eastAsia="仿宋_GB2312"/>
          <w:b/>
          <w:color w:val="auto"/>
          <w:sz w:val="32"/>
          <w:szCs w:val="32"/>
          <w:highlight w:val="none"/>
        </w:rPr>
        <w:t xml:space="preserve">5 </w:t>
      </w:r>
      <w:r>
        <w:rPr>
          <w:rFonts w:hint="eastAsia" w:ascii="仿宋_GB2312" w:eastAsia="仿宋_GB2312"/>
          <w:b/>
          <w:color w:val="auto"/>
          <w:sz w:val="28"/>
          <w:szCs w:val="28"/>
          <w:highlight w:val="none"/>
        </w:rPr>
        <w:t xml:space="preserve"> </w:t>
      </w:r>
    </w:p>
    <w:p>
      <w:pPr>
        <w:widowControl/>
        <w:spacing w:line="720" w:lineRule="auto"/>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服务方案</w:t>
      </w:r>
    </w:p>
    <w:p>
      <w:pPr>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（格式自拟）</w:t>
      </w:r>
    </w:p>
    <w:p>
      <w:pPr>
        <w:pStyle w:val="10"/>
        <w:rPr>
          <w:color w:val="auto"/>
          <w:highlight w:val="none"/>
        </w:rPr>
      </w:pPr>
    </w:p>
    <w:p>
      <w:pPr>
        <w:widowControl/>
        <w:jc w:val="left"/>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br w:type="page"/>
      </w:r>
    </w:p>
    <w:p>
      <w:pPr>
        <w:widowControl/>
        <w:spacing w:line="560" w:lineRule="exact"/>
        <w:jc w:val="center"/>
        <w:outlineLvl w:val="0"/>
        <w:rPr>
          <w:rFonts w:ascii="仿宋" w:hAnsi="仿宋" w:eastAsia="仿宋"/>
          <w:b/>
          <w:color w:val="auto"/>
          <w:sz w:val="32"/>
          <w:szCs w:val="32"/>
          <w:highlight w:val="none"/>
        </w:rPr>
      </w:pPr>
      <w:r>
        <w:rPr>
          <w:rFonts w:hint="eastAsia" w:ascii="仿宋_GB2312" w:hAnsi="宋体" w:eastAsia="仿宋_GB2312"/>
          <w:b/>
          <w:color w:val="auto"/>
          <w:sz w:val="36"/>
          <w:szCs w:val="36"/>
          <w:highlight w:val="none"/>
        </w:rPr>
        <w:t>第四章  合同条款</w:t>
      </w:r>
    </w:p>
    <w:p>
      <w:pPr>
        <w:pStyle w:val="10"/>
        <w:rPr>
          <w:color w:val="auto"/>
          <w:highlight w:val="none"/>
        </w:rPr>
      </w:pPr>
    </w:p>
    <w:p>
      <w:pPr>
        <w:spacing w:line="360" w:lineRule="auto"/>
        <w:jc w:val="center"/>
        <w:rPr>
          <w:rFonts w:hint="eastAsia" w:ascii="仿宋_GB2312" w:hAnsi="宋体" w:eastAsia="仿宋_GB2312"/>
          <w:b/>
          <w:color w:val="auto"/>
          <w:kern w:val="0"/>
          <w:sz w:val="56"/>
          <w:szCs w:val="28"/>
          <w:highlight w:val="none"/>
        </w:rPr>
      </w:pPr>
    </w:p>
    <w:p>
      <w:pPr>
        <w:spacing w:line="360" w:lineRule="auto"/>
        <w:jc w:val="center"/>
        <w:rPr>
          <w:rFonts w:hint="eastAsia" w:ascii="仿宋_GB2312" w:hAnsi="宋体" w:eastAsia="仿宋_GB2312"/>
          <w:b/>
          <w:color w:val="auto"/>
          <w:kern w:val="0"/>
          <w:sz w:val="56"/>
          <w:szCs w:val="28"/>
          <w:highlight w:val="none"/>
        </w:rPr>
      </w:pPr>
    </w:p>
    <w:p>
      <w:pPr>
        <w:spacing w:line="360" w:lineRule="auto"/>
        <w:jc w:val="center"/>
        <w:rPr>
          <w:rFonts w:hint="eastAsia" w:ascii="仿宋_GB2312" w:hAnsi="宋体" w:eastAsia="仿宋_GB2312"/>
          <w:b/>
          <w:color w:val="auto"/>
          <w:kern w:val="0"/>
          <w:sz w:val="56"/>
          <w:szCs w:val="28"/>
          <w:highlight w:val="none"/>
        </w:rPr>
      </w:pPr>
      <w:r>
        <w:rPr>
          <w:rFonts w:hint="eastAsia" w:ascii="仿宋_GB2312" w:hAnsi="宋体" w:eastAsia="仿宋_GB2312"/>
          <w:b/>
          <w:color w:val="auto"/>
          <w:kern w:val="0"/>
          <w:sz w:val="56"/>
          <w:szCs w:val="28"/>
          <w:highlight w:val="none"/>
        </w:rPr>
        <w:t>市政务服务数据资源管理平台(直达专区)政务云基础服务（资源）及云上其他相关服务项目</w:t>
      </w:r>
    </w:p>
    <w:p>
      <w:pPr>
        <w:spacing w:line="360" w:lineRule="auto"/>
        <w:jc w:val="center"/>
        <w:rPr>
          <w:rFonts w:hint="eastAsia" w:ascii="仿宋_GB2312" w:eastAsia="仿宋_GB2312"/>
          <w:b/>
          <w:color w:val="auto"/>
          <w:highlight w:val="none"/>
        </w:rPr>
      </w:pPr>
      <w:r>
        <w:rPr>
          <w:rFonts w:hint="eastAsia" w:ascii="仿宋_GB2312" w:hAnsi="宋体" w:eastAsia="仿宋_GB2312"/>
          <w:b/>
          <w:color w:val="auto"/>
          <w:kern w:val="0"/>
          <w:sz w:val="56"/>
          <w:szCs w:val="28"/>
          <w:highlight w:val="none"/>
        </w:rPr>
        <w:t>合同</w:t>
      </w: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等线"/>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ind w:firstLine="1120" w:firstLineChars="400"/>
        <w:jc w:val="left"/>
        <w:rPr>
          <w:rFonts w:hint="eastAsia" w:ascii="等线" w:hAnsi="等线" w:eastAsia="仿宋_GB2312"/>
          <w:color w:val="auto"/>
          <w:sz w:val="28"/>
          <w:highlight w:val="none"/>
        </w:rPr>
      </w:pPr>
      <w:r>
        <w:rPr>
          <w:rFonts w:hint="eastAsia" w:ascii="仿宋_GB2312" w:eastAsia="仿宋_GB2312"/>
          <w:color w:val="auto"/>
          <w:sz w:val="28"/>
          <w:highlight w:val="none"/>
        </w:rPr>
        <w:t>甲方：北京市政务服务和数据管理局</w:t>
      </w:r>
    </w:p>
    <w:p>
      <w:pPr>
        <w:spacing w:line="360" w:lineRule="auto"/>
        <w:ind w:firstLine="1120" w:firstLineChars="400"/>
        <w:jc w:val="left"/>
        <w:rPr>
          <w:rFonts w:ascii="仿宋_GB2312" w:eastAsia="仿宋_GB2312"/>
          <w:color w:val="auto"/>
          <w:sz w:val="28"/>
          <w:highlight w:val="none"/>
        </w:rPr>
      </w:pPr>
      <w:r>
        <w:rPr>
          <w:rFonts w:hint="eastAsia" w:ascii="仿宋_GB2312" w:eastAsia="仿宋_GB2312"/>
          <w:color w:val="auto"/>
          <w:sz w:val="28"/>
          <w:highlight w:val="none"/>
        </w:rPr>
        <w:t xml:space="preserve">乙方：                          </w:t>
      </w:r>
    </w:p>
    <w:p>
      <w:pPr>
        <w:spacing w:line="360" w:lineRule="auto"/>
        <w:ind w:firstLine="1120" w:firstLineChars="400"/>
        <w:jc w:val="left"/>
        <w:rPr>
          <w:rFonts w:hint="eastAsia" w:ascii="仿宋_GB2312" w:eastAsia="仿宋_GB2312"/>
          <w:color w:val="auto"/>
          <w:sz w:val="28"/>
          <w:highlight w:val="none"/>
          <w:u w:val="single"/>
        </w:rPr>
      </w:pPr>
      <w:r>
        <w:rPr>
          <w:rFonts w:hint="eastAsia" w:ascii="仿宋_GB2312" w:eastAsia="仿宋_GB2312"/>
          <w:color w:val="auto"/>
          <w:sz w:val="28"/>
          <w:highlight w:val="none"/>
        </w:rPr>
        <w:t>签署日期：</w:t>
      </w:r>
      <w:r>
        <w:rPr>
          <w:rFonts w:hint="eastAsia" w:ascii="仿宋_GB2312" w:hAnsi="宋体" w:eastAsia="仿宋_GB2312"/>
          <w:bCs/>
          <w:color w:val="auto"/>
          <w:sz w:val="28"/>
          <w:highlight w:val="none"/>
        </w:rPr>
        <w:t>20</w:t>
      </w:r>
      <w:r>
        <w:rPr>
          <w:rFonts w:ascii="仿宋_GB2312" w:hAnsi="宋体" w:eastAsia="仿宋_GB2312"/>
          <w:bCs/>
          <w:color w:val="auto"/>
          <w:sz w:val="28"/>
          <w:highlight w:val="none"/>
        </w:rPr>
        <w:t>2</w:t>
      </w:r>
      <w:r>
        <w:rPr>
          <w:rFonts w:hint="eastAsia" w:ascii="仿宋_GB2312" w:hAnsi="宋体" w:eastAsia="仿宋_GB2312"/>
          <w:bCs/>
          <w:color w:val="auto"/>
          <w:sz w:val="28"/>
          <w:highlight w:val="none"/>
        </w:rPr>
        <w:t>5年</w:t>
      </w:r>
      <w:r>
        <w:rPr>
          <w:rFonts w:ascii="仿宋_GB2312" w:hAnsi="宋体" w:eastAsia="仿宋_GB2312"/>
          <w:bCs/>
          <w:color w:val="auto"/>
          <w:sz w:val="28"/>
          <w:highlight w:val="none"/>
        </w:rPr>
        <w:t xml:space="preserve"> </w:t>
      </w:r>
      <w:r>
        <w:rPr>
          <w:rFonts w:hint="eastAsia" w:ascii="仿宋_GB2312" w:hAnsi="宋体" w:eastAsia="仿宋_GB2312"/>
          <w:bCs/>
          <w:color w:val="auto"/>
          <w:sz w:val="28"/>
          <w:highlight w:val="none"/>
        </w:rPr>
        <w:t xml:space="preserve">  </w:t>
      </w:r>
      <w:r>
        <w:rPr>
          <w:rFonts w:ascii="仿宋_GB2312" w:hAnsi="宋体" w:eastAsia="仿宋_GB2312"/>
          <w:bCs/>
          <w:color w:val="auto"/>
          <w:sz w:val="28"/>
          <w:highlight w:val="none"/>
        </w:rPr>
        <w:t xml:space="preserve"> </w:t>
      </w:r>
      <w:r>
        <w:rPr>
          <w:rFonts w:hint="eastAsia" w:ascii="仿宋_GB2312" w:hAnsi="宋体" w:eastAsia="仿宋_GB2312"/>
          <w:bCs/>
          <w:color w:val="auto"/>
          <w:sz w:val="28"/>
          <w:highlight w:val="none"/>
        </w:rPr>
        <w:t>月</w:t>
      </w:r>
      <w:r>
        <w:rPr>
          <w:rFonts w:hint="eastAsia" w:ascii="仿宋_GB2312" w:hAnsi="宋体" w:eastAsia="等线"/>
          <w:bCs/>
          <w:color w:val="auto"/>
          <w:sz w:val="28"/>
          <w:highlight w:val="none"/>
        </w:rPr>
        <w:t xml:space="preserve">    </w:t>
      </w:r>
      <w:r>
        <w:rPr>
          <w:rFonts w:hint="eastAsia" w:ascii="仿宋_GB2312" w:hAnsi="宋体" w:eastAsia="仿宋_GB2312"/>
          <w:bCs/>
          <w:color w:val="auto"/>
          <w:sz w:val="28"/>
          <w:highlight w:val="none"/>
        </w:rPr>
        <w:t>日</w:t>
      </w:r>
    </w:p>
    <w:p>
      <w:pPr>
        <w:spacing w:line="560" w:lineRule="exact"/>
        <w:rPr>
          <w:rFonts w:ascii="仿宋_GB2312" w:eastAsia="仿宋_GB2312"/>
          <w:color w:val="auto"/>
          <w:sz w:val="28"/>
          <w:highlight w:val="none"/>
        </w:rPr>
      </w:pPr>
      <w:r>
        <w:rPr>
          <w:rFonts w:ascii="仿宋_GB2312" w:eastAsia="仿宋_GB2312"/>
          <w:color w:val="auto"/>
          <w:sz w:val="28"/>
          <w:highlight w:val="none"/>
        </w:rPr>
        <w:br w:type="page"/>
      </w:r>
    </w:p>
    <w:p>
      <w:pPr>
        <w:spacing w:line="560" w:lineRule="exact"/>
        <w:jc w:val="right"/>
        <w:rPr>
          <w:rFonts w:ascii="仿宋_GB2312" w:eastAsia="仿宋_GB2312"/>
          <w:color w:val="auto"/>
          <w:sz w:val="28"/>
          <w:highlight w:val="none"/>
        </w:rPr>
      </w:pPr>
      <w:r>
        <w:rPr>
          <w:rFonts w:hint="eastAsia" w:ascii="仿宋_GB2312" w:eastAsia="仿宋_GB2312"/>
          <w:color w:val="auto"/>
          <w:sz w:val="28"/>
          <w:highlight w:val="none"/>
        </w:rPr>
        <w:t>合同编号：【】</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甲方：北京市政务服务和数据管理局</w:t>
      </w:r>
    </w:p>
    <w:p>
      <w:pPr>
        <w:spacing w:line="560" w:lineRule="exact"/>
        <w:rPr>
          <w:rFonts w:hint="default" w:ascii="仿宋_GB2312" w:hAnsi="黑体" w:eastAsia="仿宋_GB2312"/>
          <w:color w:val="auto"/>
          <w:sz w:val="24"/>
          <w:highlight w:val="none"/>
          <w:lang w:val="en-US"/>
        </w:rPr>
      </w:pPr>
      <w:r>
        <w:rPr>
          <w:rFonts w:hint="eastAsia" w:ascii="仿宋_GB2312" w:hAnsi="黑体" w:eastAsia="仿宋_GB2312"/>
          <w:color w:val="auto"/>
          <w:sz w:val="24"/>
          <w:highlight w:val="none"/>
        </w:rPr>
        <w:t>地址：</w:t>
      </w:r>
      <w:r>
        <w:rPr>
          <w:rFonts w:hint="eastAsia" w:ascii="仿宋_GB2312" w:hAnsi="黑体" w:eastAsia="仿宋_GB2312" w:cs="Times New Roman"/>
          <w:color w:val="auto"/>
          <w:sz w:val="24"/>
          <w:szCs w:val="24"/>
          <w:highlight w:val="none"/>
        </w:rPr>
        <w:t>北京市通州区留庄路</w:t>
      </w:r>
      <w:r>
        <w:rPr>
          <w:rFonts w:hint="eastAsia" w:ascii="仿宋_GB2312" w:hAnsi="黑体" w:eastAsia="仿宋_GB2312" w:cs="Times New Roman"/>
          <w:color w:val="auto"/>
          <w:sz w:val="24"/>
          <w:szCs w:val="24"/>
          <w:highlight w:val="none"/>
          <w:lang w:val="en-US" w:eastAsia="zh-CN"/>
        </w:rPr>
        <w:t>5号院</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法定代表人：</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联系人：</w:t>
      </w:r>
    </w:p>
    <w:p>
      <w:pPr>
        <w:spacing w:line="560" w:lineRule="exact"/>
        <w:rPr>
          <w:rFonts w:ascii="仿宋_GB2312" w:hAnsi="黑体" w:eastAsia="仿宋_GB2312"/>
          <w:color w:val="auto"/>
          <w:sz w:val="24"/>
          <w:highlight w:val="none"/>
        </w:rPr>
      </w:pPr>
      <w:r>
        <w:rPr>
          <w:rFonts w:hint="eastAsia" w:ascii="仿宋_GB2312" w:hAnsi="黑体" w:eastAsia="仿宋_GB2312"/>
          <w:color w:val="auto"/>
          <w:sz w:val="24"/>
          <w:highlight w:val="none"/>
        </w:rPr>
        <w:t>联系电话：</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 xml:space="preserve"> </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乙方：</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地址：</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法定代表人：</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联系人：</w:t>
      </w:r>
    </w:p>
    <w:p>
      <w:pPr>
        <w:spacing w:line="560" w:lineRule="exact"/>
        <w:rPr>
          <w:rFonts w:hint="eastAsia" w:ascii="仿宋_GB2312" w:hAnsi="黑体" w:eastAsia="仿宋_GB2312"/>
          <w:color w:val="auto"/>
          <w:sz w:val="24"/>
          <w:highlight w:val="none"/>
        </w:rPr>
      </w:pPr>
      <w:r>
        <w:rPr>
          <w:rFonts w:hint="eastAsia" w:ascii="仿宋_GB2312" w:hAnsi="黑体" w:eastAsia="仿宋_GB2312"/>
          <w:color w:val="auto"/>
          <w:sz w:val="24"/>
          <w:highlight w:val="none"/>
        </w:rPr>
        <w:t>联系电话：</w:t>
      </w:r>
    </w:p>
    <w:p>
      <w:pPr>
        <w:spacing w:line="560" w:lineRule="exact"/>
        <w:rPr>
          <w:rFonts w:hint="eastAsia" w:ascii="仿宋_GB2312" w:hAnsi="宋体" w:eastAsia="仿宋_GB2312"/>
          <w:color w:val="auto"/>
          <w:sz w:val="24"/>
          <w:highlight w:val="none"/>
        </w:rPr>
      </w:pPr>
    </w:p>
    <w:p>
      <w:pPr>
        <w:spacing w:line="560" w:lineRule="exact"/>
        <w:ind w:firstLine="588" w:firstLineChars="24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依据《中华人民共和国民法典》，甲方根据业务需求，决定由乙方提供市政务服务数据资源管理平台(直达专区)政务云基础服务（资源）及云上其他相关服务项目相关工作。甲、乙双方经友好协商，本着平等互利的原则，在互相信任的基础上，达成如下合同内容。</w:t>
      </w:r>
    </w:p>
    <w:p>
      <w:pPr>
        <w:spacing w:line="560" w:lineRule="exact"/>
        <w:ind w:firstLine="482" w:firstLineChars="200"/>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一、服务内容</w:t>
      </w:r>
    </w:p>
    <w:p>
      <w:pPr>
        <w:spacing w:line="560" w:lineRule="exact"/>
        <w:ind w:firstLine="588" w:firstLineChars="245"/>
        <w:rPr>
          <w:rFonts w:hint="eastAsia" w:ascii="仿宋_GB2312" w:hAnsi="宋体" w:eastAsia="仿宋_GB2312" w:cs="Times New Roman"/>
          <w:color w:val="auto"/>
          <w:sz w:val="24"/>
          <w:szCs w:val="24"/>
          <w:highlight w:val="none"/>
        </w:rPr>
      </w:pPr>
      <w:r>
        <w:rPr>
          <w:rFonts w:hint="eastAsia" w:ascii="仿宋_GB2312" w:hAnsi="宋体" w:eastAsia="仿宋_GB2312"/>
          <w:color w:val="auto"/>
          <w:sz w:val="24"/>
          <w:szCs w:val="24"/>
          <w:highlight w:val="none"/>
        </w:rPr>
        <w:t>市政务服务数据资源管理平台(直达专区)升级改造项目通过数据接口方式向国家平台汇聚北京市政务服务数据资源目录、数据资源信息，同步数据需求、资源申请、数据异议、数据应用案例等，查询并获取国家平台数据目录、数据资源和数据共享业务流转状态等。在项目升级改造过程中，为满足</w:t>
      </w:r>
      <w:r>
        <w:rPr>
          <w:rFonts w:hint="eastAsia" w:ascii="仿宋_GB2312" w:hAnsi="宋体" w:eastAsia="仿宋_GB2312"/>
          <w:color w:val="auto"/>
          <w:sz w:val="24"/>
          <w:szCs w:val="24"/>
          <w:highlight w:val="none"/>
          <w:lang w:eastAsia="zh-Hans"/>
        </w:rPr>
        <w:t>市政务服务数据资源管理平台(直达专区)</w:t>
      </w:r>
      <w:r>
        <w:rPr>
          <w:rFonts w:hint="eastAsia" w:ascii="仿宋_GB2312" w:hAnsi="宋体" w:eastAsia="仿宋_GB2312"/>
          <w:color w:val="auto"/>
          <w:sz w:val="24"/>
          <w:szCs w:val="24"/>
          <w:highlight w:val="none"/>
        </w:rPr>
        <w:t>安全稳定运行</w:t>
      </w:r>
      <w:r>
        <w:rPr>
          <w:rFonts w:hint="eastAsia" w:ascii="仿宋_GB2312" w:hAnsi="宋体" w:eastAsia="仿宋_GB2312"/>
          <w:color w:val="auto"/>
          <w:sz w:val="24"/>
          <w:szCs w:val="24"/>
          <w:highlight w:val="none"/>
          <w:lang w:eastAsia="zh-Hans"/>
        </w:rPr>
        <w:t>，</w:t>
      </w:r>
      <w:r>
        <w:rPr>
          <w:rFonts w:hint="eastAsia" w:ascii="仿宋_GB2312" w:hAnsi="宋体" w:eastAsia="仿宋_GB2312"/>
          <w:color w:val="auto"/>
          <w:sz w:val="24"/>
          <w:szCs w:val="24"/>
          <w:highlight w:val="none"/>
        </w:rPr>
        <w:t>需租用政务云基础服务（资源），并提供云上其他相关服务费</w:t>
      </w:r>
      <w:r>
        <w:rPr>
          <w:rFonts w:hint="eastAsia" w:ascii="仿宋_GB2312" w:hAnsi="宋体" w:eastAsia="仿宋_GB2312"/>
          <w:color w:val="auto"/>
          <w:sz w:val="24"/>
          <w:szCs w:val="24"/>
          <w:highlight w:val="none"/>
          <w:lang w:bidi="ar"/>
        </w:rPr>
        <w:t>。</w:t>
      </w:r>
    </w:p>
    <w:p>
      <w:pPr>
        <w:spacing w:line="560" w:lineRule="exact"/>
        <w:ind w:firstLine="588" w:firstLineChars="245"/>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政务云基础服务（资源）需求：</w:t>
      </w:r>
    </w:p>
    <w:tbl>
      <w:tblPr>
        <w:tblStyle w:val="18"/>
        <w:tblW w:w="4997" w:type="pct"/>
        <w:tblInd w:w="0" w:type="dxa"/>
        <w:tblLayout w:type="autofit"/>
        <w:tblCellMar>
          <w:top w:w="0" w:type="dxa"/>
          <w:left w:w="108" w:type="dxa"/>
          <w:bottom w:w="0" w:type="dxa"/>
          <w:right w:w="108" w:type="dxa"/>
        </w:tblCellMar>
      </w:tblPr>
      <w:tblGrid>
        <w:gridCol w:w="689"/>
        <w:gridCol w:w="1350"/>
        <w:gridCol w:w="1377"/>
        <w:gridCol w:w="3286"/>
        <w:gridCol w:w="878"/>
        <w:gridCol w:w="937"/>
      </w:tblGrid>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序号</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系统（功能）名称</w:t>
            </w:r>
          </w:p>
        </w:tc>
        <w:tc>
          <w:tcPr>
            <w:tcW w:w="8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服务项</w:t>
            </w:r>
          </w:p>
        </w:tc>
        <w:tc>
          <w:tcPr>
            <w:tcW w:w="1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功能描述</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数量</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color w:val="auto"/>
                <w:sz w:val="24"/>
                <w:highlight w:val="none"/>
              </w:rPr>
            </w:pPr>
            <w:r>
              <w:rPr>
                <w:rFonts w:hint="eastAsia" w:ascii="黑体" w:hAnsi="黑体" w:eastAsia="黑体" w:cs="黑体"/>
                <w:color w:val="auto"/>
                <w:kern w:val="0"/>
                <w:sz w:val="24"/>
                <w:highlight w:val="none"/>
                <w:lang w:bidi="ar"/>
              </w:rPr>
              <w:t xml:space="preserve">服务期（月） </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计算服务</w:t>
            </w:r>
          </w:p>
        </w:tc>
        <w:tc>
          <w:tcPr>
            <w:tcW w:w="81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x86平台云主机服务</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vCPU（主频不低于2.4GHz）</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220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内存</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576</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存储服务</w:t>
            </w: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普通性能存储</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普通存储（单盘技术指标: 单盘IOPS 1000-3000 ）</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18250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高性能存储</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高性能存储（单盘技术指标：单盘IOPS 3000-20000 ）</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18250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本地备份服务</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通过备份策略实现文件、操作系统、数据库的本地备份（不包含备份存储空间费用）</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18250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6</w:t>
            </w:r>
          </w:p>
        </w:tc>
        <w:tc>
          <w:tcPr>
            <w:tcW w:w="7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网络服务</w:t>
            </w: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远程接入服务</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每个账号结合身份验通过VPN远程接入堡垒机进行维护</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7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auto"/>
                <w:sz w:val="24"/>
                <w:highlight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主机负载均衡服务</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主机负载均衡服务</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23"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8</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云主机深度监控服务</w:t>
            </w: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特定云主机深度监控及运维保障服务（7*24 小时值守）</w:t>
            </w:r>
          </w:p>
        </w:tc>
        <w:tc>
          <w:tcPr>
            <w:tcW w:w="19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7*24 小时深度监测云主机资源、硬件设备监控、云平台层应急处置等内容</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36</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w:t>
            </w:r>
          </w:p>
        </w:tc>
      </w:tr>
    </w:tbl>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云上其他相关服务需求：</w:t>
      </w:r>
    </w:p>
    <w:tbl>
      <w:tblPr>
        <w:tblStyle w:val="18"/>
        <w:tblW w:w="5035" w:type="pct"/>
        <w:tblInd w:w="0" w:type="dxa"/>
        <w:tblLayout w:type="fixed"/>
        <w:tblCellMar>
          <w:top w:w="0" w:type="dxa"/>
          <w:left w:w="108" w:type="dxa"/>
          <w:bottom w:w="0" w:type="dxa"/>
          <w:right w:w="108" w:type="dxa"/>
        </w:tblCellMar>
      </w:tblPr>
      <w:tblGrid>
        <w:gridCol w:w="765"/>
        <w:gridCol w:w="1552"/>
        <w:gridCol w:w="1579"/>
        <w:gridCol w:w="3694"/>
        <w:gridCol w:w="992"/>
      </w:tblGrid>
      <w:tr>
        <w:tblPrEx>
          <w:tblCellMar>
            <w:top w:w="0" w:type="dxa"/>
            <w:left w:w="108" w:type="dxa"/>
            <w:bottom w:w="0" w:type="dxa"/>
            <w:right w:w="108" w:type="dxa"/>
          </w:tblCellMar>
        </w:tblPrEx>
        <w:trPr>
          <w:trHeight w:val="460" w:hRule="atLeast"/>
        </w:trPr>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序号</w:t>
            </w:r>
          </w:p>
        </w:tc>
        <w:tc>
          <w:tcPr>
            <w:tcW w:w="9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系统（功能）名称</w:t>
            </w:r>
          </w:p>
        </w:tc>
        <w:tc>
          <w:tcPr>
            <w:tcW w:w="9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服务项</w:t>
            </w:r>
          </w:p>
        </w:tc>
        <w:tc>
          <w:tcPr>
            <w:tcW w:w="21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auto"/>
                <w:kern w:val="0"/>
                <w:sz w:val="24"/>
                <w:highlight w:val="none"/>
                <w:lang w:bidi="ar"/>
              </w:rPr>
            </w:pPr>
            <w:r>
              <w:rPr>
                <w:rFonts w:hint="eastAsia" w:ascii="黑体" w:hAnsi="黑体" w:eastAsia="黑体" w:cs="黑体"/>
                <w:color w:val="auto"/>
                <w:kern w:val="0"/>
                <w:sz w:val="24"/>
                <w:highlight w:val="none"/>
                <w:lang w:bidi="ar"/>
              </w:rPr>
              <w:t>功能描述</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黑体" w:hAnsi="黑体" w:eastAsia="黑体" w:cs="黑体"/>
                <w:color w:val="auto"/>
                <w:kern w:val="0"/>
                <w:sz w:val="24"/>
                <w:highlight w:val="none"/>
                <w:lang w:bidi="ar"/>
              </w:rPr>
              <w:t>服务期（月）</w:t>
            </w:r>
          </w:p>
        </w:tc>
      </w:tr>
      <w:tr>
        <w:tblPrEx>
          <w:tblCellMar>
            <w:top w:w="0" w:type="dxa"/>
            <w:left w:w="108" w:type="dxa"/>
            <w:bottom w:w="0" w:type="dxa"/>
            <w:right w:w="108" w:type="dxa"/>
          </w:tblCellMar>
        </w:tblPrEx>
        <w:trPr>
          <w:trHeight w:val="64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c>
          <w:tcPr>
            <w:tcW w:w="9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安全服务</w:t>
            </w:r>
          </w:p>
        </w:tc>
        <w:tc>
          <w:tcPr>
            <w:tcW w:w="9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主机杀毒服务</w:t>
            </w:r>
          </w:p>
        </w:tc>
        <w:tc>
          <w:tcPr>
            <w:tcW w:w="21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对云主机进行定期的病毒查杀，杀毒软件集中控制，对网络性能无影响。</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7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w:t>
            </w:r>
          </w:p>
        </w:tc>
        <w:tc>
          <w:tcPr>
            <w:tcW w:w="9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p>
        </w:tc>
        <w:tc>
          <w:tcPr>
            <w:tcW w:w="9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主机安全加固</w:t>
            </w:r>
          </w:p>
        </w:tc>
        <w:tc>
          <w:tcPr>
            <w:tcW w:w="21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针对漏扫或等级测评结果对操作系统进行安全加固，用以解决等级测评结果中所显示的漏洞。</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r>
      <w:tr>
        <w:tblPrEx>
          <w:tblCellMar>
            <w:top w:w="0" w:type="dxa"/>
            <w:left w:w="108" w:type="dxa"/>
            <w:bottom w:w="0" w:type="dxa"/>
            <w:right w:w="108" w:type="dxa"/>
          </w:tblCellMar>
        </w:tblPrEx>
        <w:trPr>
          <w:trHeight w:val="60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安全检测监测、审计服务</w:t>
            </w:r>
          </w:p>
        </w:tc>
        <w:tc>
          <w:tcPr>
            <w:tcW w:w="9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主机漏洞扫描</w:t>
            </w:r>
          </w:p>
        </w:tc>
        <w:tc>
          <w:tcPr>
            <w:tcW w:w="21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为用户提供针对主机层面的安全扫描服务，并反馈相关结果。</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p>
        </w:tc>
      </w:tr>
    </w:tbl>
    <w:p>
      <w:pPr>
        <w:spacing w:line="560" w:lineRule="exact"/>
        <w:ind w:firstLine="482" w:firstLineChars="200"/>
        <w:rPr>
          <w:rFonts w:hint="eastAsia" w:ascii="仿宋_GB2312" w:hAnsi="宋体" w:eastAsia="仿宋_GB2312"/>
          <w:b/>
          <w:bCs/>
          <w:color w:val="auto"/>
          <w:kern w:val="44"/>
          <w:sz w:val="24"/>
          <w:highlight w:val="none"/>
          <w:lang w:bidi="ar"/>
        </w:rPr>
      </w:pPr>
      <w:bookmarkStart w:id="6" w:name="_Toc22249"/>
      <w:r>
        <w:rPr>
          <w:rFonts w:hint="eastAsia" w:ascii="仿宋_GB2312" w:hAnsi="宋体" w:eastAsia="仿宋_GB2312"/>
          <w:b/>
          <w:bCs/>
          <w:color w:val="auto"/>
          <w:kern w:val="44"/>
          <w:sz w:val="24"/>
          <w:highlight w:val="none"/>
          <w:lang w:bidi="ar"/>
        </w:rPr>
        <w:t>二、服务计划</w:t>
      </w:r>
      <w:bookmarkEnd w:id="6"/>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1.交付</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乙方应当按照本合同及双方确认的书面文件（如有）约定的内容进行交付，所交付的文档与文件应当包括纸质及电子版式并可供阅读。电子版文件（.docx/.pdf）以光盘方式存储，纸质版文件与电子版文件均一式【叁】份。</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（2）因乙方原因不能按时交付，造成甲方损失的，乙方应当承担赔偿责任。</w:t>
      </w:r>
    </w:p>
    <w:p>
      <w:pPr>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2.项目验收</w:t>
      </w:r>
    </w:p>
    <w:p>
      <w:pPr>
        <w:spacing w:line="560" w:lineRule="exact"/>
        <w:ind w:firstLine="480" w:firstLineChars="200"/>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应在收到乙方竣工验收申请后10个工作日内组织验收。甲方提出整改意见的，乙方应当及时整改并承担由自身原因造成整改的费用。甲方整改意见应书面提出。乙方整改结束后，应当重新向甲方提出书面竣工验收申请，甲方收到再次竣工验收申请后10个工作日内组织验收，如仍不符合要求的，甲方有权解除合同并要求乙方赔偿甲方因此而受到的全部损失。经甲方单位书面认可后出具验收合格报告，视为验收合格。乙方整改所需时间计算在工期之内，如乙方未能在本合同约定时间期限内完成，应当按照本合同的约定向甲方支付逾期违约金。</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3.本合同相关工作确认的文件需经双方盖章方为有效。</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三、服务期限</w:t>
      </w:r>
    </w:p>
    <w:p>
      <w:pPr>
        <w:spacing w:line="560" w:lineRule="exact"/>
        <w:ind w:firstLine="480" w:firstLineChars="200"/>
        <w:rPr>
          <w:rFonts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本项目实施周期为按照甲方要求，在合同签订之后，提供1个月政务云基础服务（资源）及云上其他相关服务。</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四、合同金额及支付方式</w:t>
      </w:r>
    </w:p>
    <w:p>
      <w:pPr>
        <w:spacing w:line="560" w:lineRule="exact"/>
        <w:ind w:firstLine="480" w:firstLineChars="200"/>
        <w:rPr>
          <w:rFonts w:hint="eastAsia" w:ascii="仿宋_GB2312" w:hAnsi="宋体" w:eastAsia="仿宋_GB2312"/>
          <w:color w:val="auto"/>
          <w:kern w:val="44"/>
          <w:sz w:val="24"/>
          <w:highlight w:val="none"/>
          <w:lang w:eastAsia="zh-Hans"/>
        </w:rPr>
      </w:pPr>
      <w:r>
        <w:rPr>
          <w:rFonts w:hint="eastAsia" w:ascii="仿宋_GB2312" w:hAnsi="宋体" w:eastAsia="仿宋_GB2312"/>
          <w:color w:val="auto"/>
          <w:kern w:val="44"/>
          <w:sz w:val="24"/>
          <w:highlight w:val="none"/>
        </w:rPr>
        <w:t>1.本合同总价为人民币：（大写）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元整（小写：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w:t>
      </w:r>
      <w:r>
        <w:rPr>
          <w:rFonts w:hint="eastAsia" w:ascii="仿宋_GB2312" w:hAnsi="宋体" w:eastAsia="仿宋_GB2312"/>
          <w:color w:val="auto"/>
          <w:kern w:val="44"/>
          <w:sz w:val="24"/>
          <w:highlight w:val="none"/>
          <w:lang w:eastAsia="zh-Hans"/>
        </w:rPr>
        <w:t>，</w:t>
      </w:r>
      <w:r>
        <w:rPr>
          <w:rFonts w:hint="eastAsia" w:ascii="仿宋_GB2312" w:hAnsi="宋体" w:eastAsia="仿宋_GB2312"/>
          <w:color w:val="auto"/>
          <w:kern w:val="44"/>
          <w:sz w:val="24"/>
          <w:highlight w:val="none"/>
        </w:rPr>
        <w:t>（含税）</w:t>
      </w:r>
      <w:r>
        <w:rPr>
          <w:rFonts w:hint="eastAsia" w:ascii="仿宋_GB2312" w:hAnsi="宋体" w:eastAsia="仿宋_GB2312"/>
          <w:color w:val="auto"/>
          <w:kern w:val="44"/>
          <w:sz w:val="24"/>
          <w:highlight w:val="none"/>
          <w:lang w:eastAsia="zh-Hans"/>
        </w:rPr>
        <w:t>该金额包含乙方因履行本合同可能产生的全部费用，除上述费用意外，甲方无义务再向乙方支付任何其他款项，乙方因履行本合同产生的全部费用（包括但不限于人工费、劳务费、材料费、设备费、差旅费、交通费等）均由乙方自行承担。</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2.分项报价表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354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序号</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内容</w:t>
            </w: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价格</w:t>
            </w:r>
            <w:r>
              <w:rPr>
                <w:rFonts w:hint="eastAsia" w:ascii="新宋体" w:hAnsi="新宋体" w:eastAsia="新宋体" w:cs="宋体"/>
                <w:b/>
                <w:color w:val="auto"/>
                <w:sz w:val="24"/>
                <w:highlight w:val="none"/>
              </w:rPr>
              <w:t>（单位：元）</w:t>
            </w: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r>
              <w:rPr>
                <w:rFonts w:hint="eastAsia" w:ascii="新宋体" w:hAnsi="新宋体" w:eastAsia="新宋体" w:cs="Times New Roman"/>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1</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2</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3</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51"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4</w:t>
            </w:r>
          </w:p>
        </w:tc>
        <w:tc>
          <w:tcPr>
            <w:tcW w:w="2693"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544" w:type="dxa"/>
            <w:gridSpan w:val="2"/>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宋体"/>
                <w:b/>
                <w:color w:val="auto"/>
                <w:sz w:val="24"/>
                <w:highlight w:val="none"/>
              </w:rPr>
            </w:pPr>
            <w:r>
              <w:rPr>
                <w:rFonts w:hint="eastAsia" w:ascii="新宋体" w:hAnsi="新宋体" w:eastAsia="新宋体" w:cs="宋体"/>
                <w:b/>
                <w:color w:val="auto"/>
                <w:sz w:val="24"/>
                <w:highlight w:val="none"/>
              </w:rPr>
              <w:t>总计（单位：元）</w:t>
            </w:r>
          </w:p>
        </w:tc>
        <w:tc>
          <w:tcPr>
            <w:tcW w:w="3544"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default" w:ascii="新宋体" w:hAnsi="新宋体" w:eastAsia="新宋体" w:cs="Times New Roman"/>
                <w:b/>
                <w:color w:val="auto"/>
                <w:sz w:val="24"/>
                <w:highlight w:val="none"/>
              </w:rPr>
            </w:pPr>
          </w:p>
        </w:tc>
      </w:tr>
    </w:tbl>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3.甲方按如下约定支付乙方费用：</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合同签署且财政预算资金拨付到位后15个工作日内，甲方向乙方支付合同</w:t>
      </w:r>
      <w:r>
        <w:rPr>
          <w:rFonts w:hint="eastAsia" w:ascii="仿宋_GB2312" w:hAnsi="宋体" w:eastAsia="仿宋_GB2312"/>
          <w:color w:val="auto"/>
          <w:kern w:val="44"/>
          <w:sz w:val="24"/>
          <w:highlight w:val="none"/>
          <w:lang w:val="en-US" w:eastAsia="zh-CN"/>
        </w:rPr>
        <w:t>全款</w:t>
      </w:r>
      <w:r>
        <w:rPr>
          <w:rFonts w:hint="eastAsia" w:ascii="仿宋_GB2312" w:hAnsi="宋体" w:eastAsia="仿宋_GB2312"/>
          <w:color w:val="auto"/>
          <w:kern w:val="44"/>
          <w:sz w:val="24"/>
          <w:highlight w:val="none"/>
        </w:rPr>
        <w:t>，即：</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元整（小写：</w:t>
      </w:r>
      <w:r>
        <w:rPr>
          <w:rFonts w:hint="eastAsia" w:ascii="仿宋_GB2312" w:hAnsi="宋体" w:eastAsia="仿宋_GB2312"/>
          <w:color w:val="auto"/>
          <w:kern w:val="44"/>
          <w:sz w:val="24"/>
          <w:highlight w:val="none"/>
          <w:u w:val="single"/>
        </w:rPr>
        <w:t xml:space="preserve">          </w:t>
      </w:r>
      <w:r>
        <w:rPr>
          <w:rFonts w:hint="eastAsia" w:ascii="仿宋_GB2312" w:hAnsi="宋体" w:eastAsia="仿宋_GB2312"/>
          <w:color w:val="auto"/>
          <w:kern w:val="44"/>
          <w:sz w:val="24"/>
          <w:highlight w:val="none"/>
        </w:rPr>
        <w:t>元）。</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4.每次付款前乙方应先向甲方开具发票，乙方接到甲方开具发票通知后10日内，乙方应向甲方开具等额的发票。乙方迟延提供发票的，甲方有权暂缓付款且无需承担任何责任。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5.乙方指定的收款账号如下：</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户名：</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开户银行名称：</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地址：</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账号：</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如乙方收款银行账户发生变更，乙方应在本合同约定的相关付款期限前【】日以书面方式通知甲方，通知应加盖乙方公章。因乙方未及时将通知甲方而产生的一切后果，由乙方自行承担。</w:t>
      </w:r>
    </w:p>
    <w:p>
      <w:pPr>
        <w:spacing w:line="560" w:lineRule="exact"/>
        <w:ind w:firstLine="480" w:firstLineChars="200"/>
        <w:rPr>
          <w:rFonts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6.由于甲方资金为财政性资金，如由于财政资金拨付不足或不及时导致延期付款的，则不视为甲方违约，甲方不因此承担任何违约责任。</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五、双方权利和义务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1.甲方权利义务：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（1）甲方应及时向乙方提供工位图纸、办公场所等乙方开展工作的必要条件；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（2）甲方应及时组织相关的会议、汇报、培训，并协调安排与其他相关单位的工作协作；</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（3）如涉及与其他第三方的协同或协作，甲方应及时协调相关部门或机构配合、提供数据、组织会议和沟通交流；</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（4）甲方及时按照约定的方式，确认服务工作范围和需求、确认乙方每个阶段的工作成果；</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（5）甲方有权对乙方履行本合同的全过程进行监督，如发现乙方存在不符合甲方要求的行为，有权要求乙方整改，乙方应根据甲方的建议和要求加以改进；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（6）甲方认为乙方工作人员不能胜任本合同项下的工作，有权要求乙方更换。</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2.乙方权利义务：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（1）乙方应按本合同、比选文件及响应文件的要求和承诺提供服务，及时向甲方通报工作进展情况，及时提供相关服务；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（2）乙方应按照双方确认的服务工作计划，开展服务工作；</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（3）乙方应在甲方要求的时间内组织培训并提供必要的文档，以实现甲方人员对相关事项的掌握；</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（4）协调乙方内部人力、技术、知识资源，以确保服务的质量和进度；</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（5）乙方保证由响应文件中承诺的服务团队向甲方提供服务，未经甲方书面同意，乙方不得更换项目经理及项目组成员；</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（6）如甲方认为乙方提供的服务不符合甲方要求的，乙方应按照甲方要求及时修改，报告的内容和形式均应符合相关主管部门的要求；</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（7）未经甲方书面同意，乙方不得将本合同项下的部分或全部义务转交其他第三方实施；</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（8）为使甲方随时了解相关工作的进展情况，乙方应按照甲方要求建立定期汇报机制。本合同履行期间，乙方应实时关注副中心搬迁工作相关管理部门发布的规章制度等并及时通知甲方。</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（9）乙方需履行的其他义务以比选文件的要求和响应文件的承诺为准。</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六、保密</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1.保密信息</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本合同保密信息特指乙方因履行本合同而知悉的甲方的行政文件、会议纪要、内部信息、内部规范性文件或规章制度、本合同涉及的甲方数据、信息以及其他任何甲方尚未对外公开的信息或资料。</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2.保密期限</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自本合同生效之日起至相关保密信息公开为止。本合同项下的保密义务不因本合同的终止、解除而终止。</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3.披露和使用保密信息的限制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乙方应将保密信息的使用限制在乙方及乙方相关工作人员范围内，乙方只可将保密信息用于本合同之目的。乙方须确保其工作人员知悉且同意本条款的内容并确保受其约束。乙方同意，除非按法律法规规定、司法机关或有关监管机构的要求披露外，未经甲方事先书面同意，乙方及乙方工作人员不得向任何第三方披露、转让、复制保密信息或以其他方式谋取任何利益，也不以任何形式为本合同目的以外的目的使用保密信息。</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4.违约责任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乙方或乙方工作人员违反保密义务的，乙方需按照本合同总价的20%向甲方支付违约金，并赔偿由此给甲方造成的损失。</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5.保密信息的返还或销毁</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本合同解除或终止时，如甲方要求乙方返还或销毁任何依本合同而提供的保密信息及其复印件，乙方应在甲方要求的时间内返还或销毁。</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七、知识产权</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甲方拥有本合同涉及的全部资料以及乙方工作成果的全部知识产权，未经甲方允许，乙方不得为本合同履行以外的目的自行使用或允许其他第三方使用且乙方工作成果不存在侵犯任何第三方合法权益的情形，否则乙方需按照本合同总价的20%向甲方支付违约金，如违约金不足以弥补甲方损失的，乙方应继续赔偿。</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八、违约责任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1.本合同生效后，乙方不履行或不完全履行本合同约定的义务或响应文件的承诺的，均构成违约。乙方应当向甲方支付本合同总价20%的违约金，如违约金不足以弥补损失的，甲方有权继续追偿。</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乙方不能在双方约定的日期内提供服务或交付工作成果的，每延迟一日乙方应按本合同总价5‰向甲方支付滞纳金，超过【】日仍未交付的，乙方需按照本合同总价的20%向甲方支付违约金，乙方需继续履行本合同项下的义务。同时甲方保留解除本合同的权利，若甲方解除合同乙方应向甲方退回甲方先行支付的全部款项。</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乙方保证所提供的服务或交付的工作成果不会侵犯任何第三方的合法权益，如因乙方原因导致甲方不能正常使用乙方提供的服务或有任何其他第三方向甲方主张权利的，全部责任均由乙方承担，甲方有权单方解除本合同，乙方须全额退还甲方已经支付的款项并按照本合同总价的20%向甲方支付违约金，如违约金不足以弥补甲方损失的，乙方应继续赔偿由此给甲方造成的全部损失。</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4.本合同履行过程中，乙方发生不适合承接本合同委托事项的，包括但不限于重大经营变化、行政处罚、失信行为等情况，甲方有权单方解除本合同且无需</w:t>
      </w:r>
      <w:r>
        <w:rPr>
          <w:rFonts w:hint="eastAsia" w:ascii="仿宋_GB2312" w:eastAsia="仿宋_GB2312"/>
          <w:color w:val="auto"/>
          <w:sz w:val="24"/>
          <w:highlight w:val="none"/>
        </w:rPr>
        <w:t>承担</w:t>
      </w:r>
      <w:r>
        <w:rPr>
          <w:rFonts w:hint="eastAsia" w:ascii="仿宋_GB2312" w:hAnsi="宋体" w:eastAsia="仿宋_GB2312"/>
          <w:color w:val="auto"/>
          <w:kern w:val="44"/>
          <w:sz w:val="24"/>
          <w:highlight w:val="none"/>
        </w:rPr>
        <w:t>任何责任，甲方选择解除本合同的，乙方需退还甲方已支付的全部费用（如有）并按照本合同总价的20%向甲方支付违约金，如违约金不足以弥补甲方损失的，乙方应继续赔偿由此给甲方造成的全部损失。</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未经甲方同意，乙方不得将本合同项下的委托事项部分或全部转给第三方完成，否则乙方构成根本违约，甲方有权解除本合同，乙方应退还甲方已支付的全部费用并支付本合同总价的20%作为违约金，因此造成甲方损失的，乙方还应承担相应的赔偿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6.如乙方无力完成或因乙方原因致使本合同目的无法实现、无法完全实现或继续履行本合同已无实际意义的，或乙方在完成甲方委托事项过程中出现重大工作失误，甲方有权单方解除本合同，乙方按照本合同总金额的20%向甲方支付违约金，如违约金不足以弥补损失的，甲方有权继续追偿。</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7.如果发生违约事件，履约方要求违约方支付违约金时，应当以书面方式通知违约方，内容包括违约事件、违约金、支付时间和方式等。</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8.如由于乙方原因甲方采取司法途径维护其合法权益的，乙方应赔偿甲方因此产生的全部支出，包括但不限于律师费、诉讼费、鉴定费、保险费、保全费、公告费等其他合理费用。</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9.如乙方存在对甲方应付未付款项的，包括但不限于赔偿金、补偿金等，甲方有权从应付乙方款项中予以扣除，且不视为甲方违约，不足部分仍由乙方另行补足。</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九、合同的解除和终止</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1.合同生效后，未经双方协商一致，任一方不得随意解除或终止本合同。</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2.若甲方因上级单位的要求、政策变更等原因要求解除或终止合同的，甲方无需承担违约责任，但甲方应提前【】个工作日通知乙方，并按双方认可的已完成工作量，支付乙方服务费用。</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3.有下列情况之一的，任何一方可以解除本合同：</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（1）客观情况发生变化致使本合同已无履行的必要；</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（2）因不可抗力，使合同不能实际履行的。</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十、不可抗力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本条所称不可抗力是指无法预见、无法避免、无法克服的致使本合同全部或部分义务不能履行或不能如期履行的客观情况，包括但不限于自然灾害如水灾、台风、地震等，以及社会事件如战争、动乱、罢工、政府行为或法律规定等；</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2.本合同项下任何一方对于因不可抗力致使本合同不能履行或不能全部履行而给对方造成的任何损失不承担赔偿责任；</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3.如果发生不可抗力事件，则受影响的一方应采取积极有效的措施以减少因本合同不能履行或不能全部履行而给对方造成的损失，应在不可抗力事件发生后及时通知对方，并在7个工作日内出具官方证明文件；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4.因不可抗力影响因素消失以后，双方应协商是否继续履行本合同，如不可抗力因素致本合同已无法履行，双方应终止本合同。</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十一、通知</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1.任何根据本合同要求发出的通知或者其他通讯（包括但不限于司法机关、政府部门、有权机构的通知、函件以及沟通文件）应以中文书写，并经专人或邮寄送至本合同前部记载的地址。</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2.任何一方的通讯地址或联系方式如发生变动，应立即书面通知对方，因未及时通知而造成的损失由通讯地址或联系方式变动方自行承担。</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本合同前部记载的地址的适用范围包括非诉阶段和争议进入仲裁、民事诉讼程序后的一审、二审、再审和执行程序；因一方提供或者确认的送达地址不准确、送达地址变更后未及时依程序告知对方和法院、一方或指定的接收人拒绝签收等原因，导致法律文书未能被实际接收的，邮寄送达的，以文书退回之日视为送达之日；直接送达的，送达人当场在送达回证上记明情况之日视为送达之日。</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十二、争议解决</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1.本合同项下的全部内容均以中华人民共和国法律作为准据法。</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2.因本合同引起的或与本合同有关的任何争议，由双方当事人协商解决；协商不成，任何一方均可向甲方所在地有管辖权的人民法院提起诉讼。</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3.除争议事项外，双方应继续行使其剩余的相关权利，履行其本合同项下的其他义务。</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十三、合同附件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本合同包括以下合同附件：</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（1）廉政责任书</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（2）保密协议</w:t>
      </w:r>
    </w:p>
    <w:p>
      <w:pPr>
        <w:spacing w:line="560" w:lineRule="exact"/>
        <w:ind w:firstLine="482" w:firstLineChars="200"/>
        <w:rPr>
          <w:rFonts w:hint="eastAsia" w:ascii="仿宋_GB2312" w:hAnsi="宋体" w:eastAsia="仿宋_GB2312"/>
          <w:b/>
          <w:bCs/>
          <w:color w:val="auto"/>
          <w:kern w:val="44"/>
          <w:sz w:val="24"/>
          <w:highlight w:val="none"/>
        </w:rPr>
      </w:pPr>
      <w:r>
        <w:rPr>
          <w:rFonts w:hint="eastAsia" w:ascii="仿宋_GB2312" w:hAnsi="宋体" w:eastAsia="仿宋_GB2312"/>
          <w:b/>
          <w:bCs/>
          <w:color w:val="auto"/>
          <w:kern w:val="44"/>
          <w:sz w:val="24"/>
          <w:highlight w:val="none"/>
        </w:rPr>
        <w:t>十四、其他</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1.由于服务范围等需求变更，双方经协商一致后，可以书面方式对服务内容、相关费用和服务期限进行调整。</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2.本合同未尽事宜，甲乙双方应另行协商并签订补充协议，补充协议与本合同具有同等法律效力；补充协议与本合同约定不一致的，以补充协议所载内容为准。</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3.本合同中涉及的所有附件作为合同的一部分，与合同主体同等重要，具有相同的法律效力。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4.本合同一式陆份，其中甲方持肆份，乙方持贰份，具有同等法律效力。</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rPr>
        <w:t>5.本合同自双方法定代表人或授权代表签字并加盖公章后生效。</w:t>
      </w:r>
    </w:p>
    <w:p>
      <w:pPr>
        <w:spacing w:line="560" w:lineRule="exact"/>
        <w:ind w:firstLine="439" w:firstLineChars="183"/>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[以下无正文]</w:t>
      </w:r>
    </w:p>
    <w:p>
      <w:pPr>
        <w:spacing w:line="560" w:lineRule="exact"/>
        <w:ind w:firstLine="439" w:firstLineChars="183"/>
        <w:rPr>
          <w:rFonts w:hint="eastAsia" w:ascii="仿宋_GB2312" w:hAnsi="宋体" w:eastAsia="仿宋_GB2312"/>
          <w:color w:val="auto"/>
          <w:sz w:val="24"/>
          <w:highlight w:val="none"/>
        </w:rPr>
      </w:pP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 xml:space="preserve">甲方（盖章）：                             乙方（盖章）：   </w:t>
      </w:r>
    </w:p>
    <w:p>
      <w:pPr>
        <w:spacing w:line="560" w:lineRule="exact"/>
        <w:rPr>
          <w:rFonts w:ascii="宋体" w:hAnsi="宋体" w:cs="宋体"/>
          <w:color w:val="auto"/>
          <w:sz w:val="24"/>
          <w:highlight w:val="none"/>
        </w:rPr>
      </w:pPr>
      <w:r>
        <w:rPr>
          <w:rFonts w:hint="eastAsia" w:ascii="宋体" w:hAnsi="宋体" w:cs="宋体"/>
          <w:color w:val="auto"/>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法定代表人或                              法定代表人或</w:t>
      </w:r>
    </w:p>
    <w:p>
      <w:pPr>
        <w:spacing w:line="560" w:lineRule="exact"/>
        <w:ind w:firstLine="480" w:firstLineChars="200"/>
        <w:rPr>
          <w:rFonts w:hint="eastAsia" w:ascii="仿宋_GB2312" w:hAnsi="宋体" w:eastAsia="仿宋_GB2312"/>
          <w:color w:val="auto"/>
          <w:kern w:val="44"/>
          <w:sz w:val="24"/>
          <w:highlight w:val="none"/>
        </w:rPr>
      </w:pPr>
      <w:r>
        <w:rPr>
          <w:rFonts w:hint="eastAsia" w:ascii="仿宋_GB2312" w:hAnsi="宋体" w:eastAsia="仿宋_GB2312"/>
          <w:color w:val="auto"/>
          <w:kern w:val="44"/>
          <w:sz w:val="24"/>
          <w:highlight w:val="none"/>
          <w:lang w:bidi="ar"/>
        </w:rPr>
        <w:t xml:space="preserve">授权代表人（签字）：                       授权代表人（签字）：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签订日期：                                  </w:t>
      </w:r>
    </w:p>
    <w:p>
      <w:pPr>
        <w:widowControl/>
        <w:spacing w:line="560" w:lineRule="exact"/>
        <w:ind w:firstLine="480" w:firstLineChars="200"/>
        <w:contextualSpacing/>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签订地址：北京市【】区</w:t>
      </w:r>
    </w:p>
    <w:p>
      <w:pPr>
        <w:widowControl/>
        <w:spacing w:line="560" w:lineRule="exact"/>
        <w:ind w:firstLine="480" w:firstLineChars="200"/>
        <w:contextualSpacing/>
        <w:rPr>
          <w:rFonts w:hint="eastAsia" w:ascii="仿宋_GB2312" w:hAnsi="宋体" w:eastAsia="仿宋_GB2312"/>
          <w:color w:val="auto"/>
          <w:kern w:val="44"/>
          <w:sz w:val="24"/>
          <w:highlight w:val="none"/>
          <w:lang w:bidi="ar"/>
        </w:rPr>
      </w:pPr>
    </w:p>
    <w:p>
      <w:pPr>
        <w:widowControl/>
        <w:spacing w:line="560" w:lineRule="exact"/>
        <w:contextualSpacing/>
        <w:rPr>
          <w:rFonts w:hint="eastAsia" w:ascii="宋体" w:hAnsi="宋体" w:cs="宋体"/>
          <w:b/>
          <w:bCs/>
          <w:color w:val="auto"/>
          <w:sz w:val="24"/>
          <w:highlight w:val="none"/>
          <w:lang w:bidi="ar"/>
        </w:rPr>
      </w:pPr>
      <w:bookmarkStart w:id="7" w:name="_Toc32177"/>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widowControl/>
        <w:spacing w:line="560" w:lineRule="exact"/>
        <w:contextualSpacing/>
        <w:rPr>
          <w:rFonts w:hint="eastAsia" w:ascii="宋体" w:hAnsi="宋体" w:cs="宋体"/>
          <w:b/>
          <w:bCs/>
          <w:color w:val="auto"/>
          <w:sz w:val="24"/>
          <w:highlight w:val="none"/>
          <w:lang w:bidi="ar"/>
        </w:rPr>
      </w:pPr>
    </w:p>
    <w:p>
      <w:pPr>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br w:type="page"/>
      </w:r>
    </w:p>
    <w:p>
      <w:pPr>
        <w:widowControl/>
        <w:spacing w:line="560" w:lineRule="exact"/>
        <w:contextualSpacing/>
        <w:rPr>
          <w:rFonts w:ascii="宋体" w:hAnsi="宋体" w:cs="宋体"/>
          <w:b/>
          <w:bCs/>
          <w:color w:val="auto"/>
          <w:sz w:val="24"/>
          <w:highlight w:val="none"/>
          <w:lang w:bidi="ar"/>
        </w:rPr>
      </w:pPr>
      <w:r>
        <w:rPr>
          <w:rFonts w:hint="eastAsia" w:ascii="宋体" w:hAnsi="宋体" w:cs="宋体"/>
          <w:b/>
          <w:bCs/>
          <w:color w:val="auto"/>
          <w:sz w:val="24"/>
          <w:highlight w:val="none"/>
          <w:lang w:bidi="ar"/>
        </w:rPr>
        <w:t>附件1</w:t>
      </w:r>
      <w:bookmarkEnd w:id="7"/>
    </w:p>
    <w:p>
      <w:pPr>
        <w:snapToGrid w:val="0"/>
        <w:spacing w:line="560" w:lineRule="exact"/>
        <w:ind w:left="-124" w:leftChars="-59"/>
        <w:jc w:val="center"/>
        <w:rPr>
          <w:rFonts w:ascii="宋体" w:hAnsi="宋体" w:cs="宋体"/>
          <w:b/>
          <w:bCs/>
          <w:color w:val="auto"/>
          <w:sz w:val="24"/>
          <w:highlight w:val="none"/>
          <w:lang w:bidi="ar"/>
        </w:rPr>
      </w:pPr>
      <w:r>
        <w:rPr>
          <w:rFonts w:hint="eastAsia" w:ascii="宋体" w:hAnsi="宋体" w:cs="宋体"/>
          <w:b/>
          <w:bCs/>
          <w:color w:val="auto"/>
          <w:sz w:val="24"/>
          <w:highlight w:val="none"/>
          <w:lang w:bidi="ar"/>
        </w:rPr>
        <w:t>廉政责任书</w:t>
      </w:r>
    </w:p>
    <w:p>
      <w:pPr>
        <w:snapToGrid w:val="0"/>
        <w:spacing w:line="560" w:lineRule="exact"/>
        <w:ind w:left="-124" w:leftChars="-59"/>
        <w:rPr>
          <w:rFonts w:ascii="宋体" w:hAnsi="宋体" w:cs="宋体"/>
          <w:b/>
          <w:bCs/>
          <w:color w:val="auto"/>
          <w:sz w:val="24"/>
          <w:highlight w:val="none"/>
          <w:lang w:bidi="ar"/>
        </w:rPr>
      </w:pPr>
      <w:r>
        <w:rPr>
          <w:rFonts w:hint="eastAsia" w:ascii="宋体" w:hAnsi="宋体" w:cs="宋体"/>
          <w:b/>
          <w:bCs/>
          <w:color w:val="auto"/>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根据国家法律、法规以及有关廉政建设的规定，为做好北京市政务服务和数据管理局在市政务服务数据资源管理平台(直达专区)政务云基础服务（资源）及云上其他相关服务项目（以下简称本项目）工作中的党风廉政建设，保证各项工作高效优质开展，保证经费安全和有效使用，北京市政务服务和数据管理局(以下称甲方)与</w:t>
      </w:r>
      <w:r>
        <w:rPr>
          <w:rFonts w:hint="eastAsia" w:ascii="仿宋_GB2312" w:hAnsi="宋体" w:eastAsia="仿宋_GB2312"/>
          <w:color w:val="auto"/>
          <w:kern w:val="44"/>
          <w:sz w:val="24"/>
          <w:highlight w:val="none"/>
          <w:u w:val="single"/>
          <w:lang w:bidi="ar"/>
        </w:rPr>
        <w:t xml:space="preserve">              </w:t>
      </w:r>
      <w:r>
        <w:rPr>
          <w:rFonts w:hint="eastAsia" w:ascii="仿宋_GB2312" w:hAnsi="宋体" w:eastAsia="仿宋_GB2312"/>
          <w:color w:val="auto"/>
          <w:kern w:val="44"/>
          <w:sz w:val="24"/>
          <w:highlight w:val="none"/>
          <w:lang w:bidi="ar"/>
        </w:rPr>
        <w:t>（以下称乙方）就市政务服务数据资源管理平台(直达专区)政务云基础服务（资源）及云上其他相关服务项目，订立廉政责任书如下。</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第一条 甲乙双方的权利和义务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（一）严格遵守党和国家有关法律法规及北京市的有关规定。</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（二）严格履行市政务服务数据资源管理平台(直达专区)政务云基础服务（资源）及云上其他相关服务项目</w:t>
      </w:r>
      <w:r>
        <w:rPr>
          <w:rFonts w:hint="eastAsia" w:ascii="仿宋_GB2312" w:hAnsi="宋体" w:eastAsia="仿宋_GB2312"/>
          <w:color w:val="auto"/>
          <w:kern w:val="44"/>
          <w:sz w:val="24"/>
          <w:highlight w:val="none"/>
          <w:lang w:val="en-US" w:eastAsia="zh-CN" w:bidi="ar"/>
        </w:rPr>
        <w:t>比选</w:t>
      </w:r>
      <w:r>
        <w:rPr>
          <w:rFonts w:hint="eastAsia" w:ascii="仿宋_GB2312" w:hAnsi="宋体" w:eastAsia="仿宋_GB2312"/>
          <w:color w:val="auto"/>
          <w:kern w:val="44"/>
          <w:sz w:val="24"/>
          <w:highlight w:val="none"/>
          <w:lang w:bidi="ar"/>
        </w:rPr>
        <w:t>文件、响应文件及采购合同中规定的各项义务。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（三）双方的业务活动坚持公开、公正、诚信、透明的原则（法律认定的商业秘密和合同文件另有规定的除外），不得损害国家和集体利益，违反国家及北京市各项规章制度。</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（四）建立健全廉政制度，开展廉政教育，公布举报电话，监督并认真查处违法违纪行为。</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（五）发现对方在业务活动中有违反廉政规定的行为，有及时提醒对方纠正的权利和义务。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（六）发现对方存在严重违反本责任书的行为，有建议给予处理并要求告知处理结果和向其上级有关部门举报的权利。</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第二条 甲方的义务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（一）甲方及其工作人员不得索要或接受乙方的礼金、有价证券和贵重物品，不得在乙方报销任何应由甲方或个人支付的费用等。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（二）甲方工作人员不得参加乙方安排的超标准宴请和娱乐活动；不得接受乙方提供的通讯工具、交通工具和高档办公用品等。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（三）甲方及其工作人员不得要求或者接受乙方为其住房装修、婚丧嫁娶、配偶子女的工作安排以及出国出境、旅游提供方便等。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第三条 乙方义务</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（一）乙方及其工作人员不得以任何理由向甲方及其工作人员行贿或馈赠礼金、有价证券、贵重礼品。</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（二）乙方及其工作人员不得以任何名义为甲方及其工作人员报销应由甲方单位或个人支付的任何费用。</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（三）乙方及其工作人员不得以任何理由安排甲方工作人员参加超标准宴请及娱乐活动。</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（四）乙方及其工作人员不得为甲方单位和个人购置或提供通讯工具、交通工具和高档办公用品等。</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第四条 违约责任</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（一）甲方及其工作人员违反本责任书第一、二条，依据有关规定给予党纪、政纪或组织处理，调离其工作岗位；涉嫌犯罪的，移交司法机关追究刑事责任；给乙方单位造成经济损失的，应予以赔偿。</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二）乙方及其工作人员违反本责任书第一、三条，依据有关规定，给予党纪、政纪或组织处理；给甲方单位造成经济损失的，应予以赔偿；情节严重的，甲方可以单方终止与乙方的协议，并禁止乙方在三年内参与甲方组织的项目投标。</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第五条 本责任书有效期为甲乙双方签署之日起至该项目验收合格之日止。</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第六条 本责任书作为市政务服务数据资源管理平台(直达专区)政务云基础服务（资源）及云上其他相关服务项目合同的附件，与项目合同具有同等的法律效力。</w:t>
      </w:r>
    </w:p>
    <w:p>
      <w:pPr>
        <w:spacing w:line="560" w:lineRule="exact"/>
        <w:ind w:firstLine="480" w:firstLineChars="200"/>
        <w:rPr>
          <w:rFonts w:hint="eastAsia" w:ascii="仿宋_GB2312" w:hAnsi="宋体" w:eastAsia="仿宋_GB2312"/>
          <w:color w:val="auto"/>
          <w:kern w:val="44"/>
          <w:sz w:val="24"/>
          <w:highlight w:val="none"/>
          <w:lang w:bidi="ar"/>
        </w:rPr>
      </w:pPr>
    </w:p>
    <w:p>
      <w:pPr>
        <w:widowControl/>
        <w:spacing w:line="560" w:lineRule="exact"/>
        <w:ind w:left="-124" w:leftChars="-59"/>
        <w:jc w:val="left"/>
        <w:rPr>
          <w:rFonts w:ascii="宋体" w:hAnsi="宋体" w:cs="宋体"/>
          <w:color w:val="auto"/>
          <w:sz w:val="24"/>
          <w:highlight w:val="none"/>
          <w:lang w:bidi="ar"/>
        </w:rPr>
      </w:pPr>
      <w:r>
        <w:rPr>
          <w:rFonts w:hint="eastAsia" w:ascii="宋体" w:hAnsi="宋体" w:cs="宋体"/>
          <w:color w:val="auto"/>
          <w:sz w:val="24"/>
          <w:highlight w:val="none"/>
          <w:lang w:bidi="ar"/>
        </w:rPr>
        <w:t xml:space="preserve"> </w:t>
      </w:r>
    </w:p>
    <w:p>
      <w:pPr>
        <w:widowControl/>
        <w:adjustRightInd w:val="0"/>
        <w:spacing w:before="160" w:after="160" w:line="560" w:lineRule="exact"/>
        <w:jc w:val="left"/>
        <w:textAlignment w:val="baseline"/>
        <w:rPr>
          <w:rFonts w:ascii="宋体" w:hAnsi="宋体" w:cs="宋体"/>
          <w:b/>
          <w:bCs/>
          <w:color w:val="auto"/>
          <w:sz w:val="24"/>
          <w:highlight w:val="none"/>
          <w:lang w:bidi="ar"/>
        </w:rPr>
      </w:pPr>
      <w:r>
        <w:rPr>
          <w:rFonts w:hint="eastAsia" w:ascii="宋体" w:hAnsi="宋体" w:cs="宋体"/>
          <w:color w:val="auto"/>
          <w:sz w:val="24"/>
          <w:highlight w:val="none"/>
          <w:lang w:bidi="ar"/>
        </w:rPr>
        <w:br w:type="page"/>
      </w:r>
      <w:r>
        <w:rPr>
          <w:rFonts w:hint="eastAsia" w:ascii="宋体" w:hAnsi="宋体" w:cs="宋体"/>
          <w:b/>
          <w:bCs/>
          <w:color w:val="auto"/>
          <w:sz w:val="24"/>
          <w:highlight w:val="none"/>
          <w:lang w:bidi="ar"/>
        </w:rPr>
        <w:t>附件2</w:t>
      </w:r>
    </w:p>
    <w:p>
      <w:pPr>
        <w:widowControl/>
        <w:adjustRightInd w:val="0"/>
        <w:spacing w:before="160" w:after="160" w:line="560" w:lineRule="exact"/>
        <w:jc w:val="center"/>
        <w:textAlignment w:val="baseline"/>
        <w:rPr>
          <w:rFonts w:ascii="宋体" w:hAnsi="宋体" w:cs="宋体"/>
          <w:b/>
          <w:bCs/>
          <w:color w:val="auto"/>
          <w:sz w:val="24"/>
          <w:highlight w:val="none"/>
          <w:lang w:bidi="ar"/>
        </w:rPr>
      </w:pPr>
      <w:r>
        <w:rPr>
          <w:rFonts w:hint="eastAsia" w:ascii="宋体" w:hAnsi="宋体" w:cs="宋体"/>
          <w:b/>
          <w:bCs/>
          <w:color w:val="auto"/>
          <w:sz w:val="24"/>
          <w:highlight w:val="none"/>
          <w:lang w:bidi="ar"/>
        </w:rPr>
        <w:t>保密协议</w:t>
      </w:r>
    </w:p>
    <w:p>
      <w:pPr>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根据国家法律、法规以及有关保密工作的规定，为做好北京市政务服务和数据管理局在市政务服务数据资源管理平台(直达专区)政务云基础服务（资源）及云上其他相关服务项目（以下简称本项目）工作中的保密工作，保证信息安全，北京市政务服务和数据管理局(以下称甲方)与</w:t>
      </w:r>
      <w:r>
        <w:rPr>
          <w:rFonts w:hint="eastAsia" w:ascii="仿宋_GB2312" w:hAnsi="宋体" w:eastAsia="仿宋_GB2312"/>
          <w:color w:val="auto"/>
          <w:kern w:val="44"/>
          <w:sz w:val="24"/>
          <w:highlight w:val="none"/>
          <w:u w:val="single"/>
          <w:lang w:bidi="ar"/>
        </w:rPr>
        <w:t xml:space="preserve">                    </w:t>
      </w:r>
      <w:r>
        <w:rPr>
          <w:rFonts w:hint="eastAsia" w:ascii="仿宋_GB2312" w:hAnsi="宋体" w:eastAsia="仿宋_GB2312"/>
          <w:color w:val="auto"/>
          <w:kern w:val="44"/>
          <w:sz w:val="24"/>
          <w:highlight w:val="none"/>
          <w:lang w:bidi="ar"/>
        </w:rPr>
        <w:t>（以下称乙方）就市政务服务数据资源管理平台(直达专区)政务云基础服务（资源）及云上其他相关服务项目，订立保密协议如下。</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第一条、保密信息</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本协议保密信息特指乙方因履行市政务服务数据资源管理平台(直达专区)政务云基础服务（资源）及云上其他相关服务项目合同而知悉的本项目的所有信息、资料及甲方的行政文件、会议纪要、内部信息、内部规范性文件或规章制度以及其他任何甲方尚未对外公开的信息或资料。</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第二条、保密期限</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自本协议生效之日起至相关保密信息公开为止。本协议项下的保密义务不因市政务服务数据资源管理平台(直达专区)政务云基础服务（资源）及云上其他相关服务项目合同的终止、解除而终止。</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第三条、披露和使用保密信息的限制</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乙方应将保密信息的使用限制在乙方及乙方相关工作人员范围内，乙方只可将保密信息用于本协议之目的。乙方须确保其工作人员知悉且同意本条款的内容并确保受其约束。乙方同意，除非按法律法规规定、司法机关或有关监管机构的要求披露外，未经甲方事先书面同意，乙方及乙方人员不得向任何第三方披露、转让、复制保密信息或以其他方式谋取任何利益，也不以任何形式为本项目目的以外的目的使用保密信息。乙方对乙方人员在本协议项下的保密义务承担连带责任。</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第四条、违约责任</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乙方或乙方人员违反保密义务的，乙方需按照市政务服务数据资源管理平台(直达专区)政务云基础服务（资源）及云上其他相关服务项目合同总金额的20%向甲方支付违约金，并赔偿由此给甲方造成的损失。</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第五条、保密信息的返还或销毁</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本协议解除或终止时，如甲方要求乙方返还或销毁任何依市政务服务数据资源管理平台(直达专区)政务云基础服务（资源）及云上其他相关服务项目合同而提供的保密信息及其复印件，乙方应在甲方要求的时间内返还或销毁。 </w:t>
      </w:r>
    </w:p>
    <w:p>
      <w:pPr>
        <w:widowControl/>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第六条、其他</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1.本协议自甲乙双方法定代表人或授权代表签字并加盖公章之日起生效，至所有保密信息全部公开之日终止。</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2.本协议一式陆份，甲方持肆份，乙方持贰份，具有同等法律效力。</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（以下无正文）</w:t>
      </w:r>
    </w:p>
    <w:p>
      <w:pPr>
        <w:spacing w:line="560" w:lineRule="exact"/>
        <w:ind w:firstLine="480" w:firstLineChars="200"/>
        <w:rPr>
          <w:rFonts w:hint="eastAsia" w:ascii="仿宋_GB2312" w:hAnsi="宋体" w:eastAsia="仿宋_GB2312"/>
          <w:color w:val="auto"/>
          <w:kern w:val="44"/>
          <w:sz w:val="24"/>
          <w:highlight w:val="none"/>
          <w:lang w:bidi="ar"/>
        </w:rPr>
      </w:pP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甲方（盖章）：                             乙方（盖章）：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法定代表人或                              法定代表人或</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授权代表人（签字）：                       授权代表人（签字）：                         </w:t>
      </w:r>
    </w:p>
    <w:p>
      <w:pPr>
        <w:spacing w:line="560" w:lineRule="exact"/>
        <w:ind w:firstLine="480" w:firstLineChars="200"/>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 </w:t>
      </w:r>
    </w:p>
    <w:p>
      <w:pPr>
        <w:widowControl/>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签订日期：</w:t>
      </w:r>
    </w:p>
    <w:p>
      <w:pPr>
        <w:widowControl/>
        <w:spacing w:line="560" w:lineRule="exact"/>
        <w:ind w:firstLine="480" w:firstLineChars="200"/>
        <w:jc w:val="left"/>
        <w:rPr>
          <w:rFonts w:hint="eastAsia" w:ascii="仿宋_GB2312" w:hAnsi="宋体" w:eastAsia="仿宋_GB2312"/>
          <w:color w:val="auto"/>
          <w:kern w:val="44"/>
          <w:sz w:val="24"/>
          <w:highlight w:val="none"/>
          <w:lang w:bidi="ar"/>
        </w:rPr>
      </w:pPr>
      <w:r>
        <w:rPr>
          <w:rFonts w:hint="eastAsia" w:ascii="仿宋_GB2312" w:hAnsi="宋体" w:eastAsia="仿宋_GB2312"/>
          <w:color w:val="auto"/>
          <w:kern w:val="44"/>
          <w:sz w:val="24"/>
          <w:highlight w:val="none"/>
          <w:lang w:bidi="ar"/>
        </w:rPr>
        <w:t xml:space="preserve">签订地址：北京市【】区： </w:t>
      </w:r>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C1EF2C-BD9C-4303-885D-BC832BBF2539}"/>
  </w:font>
  <w:font w:name="Courier New">
    <w:panose1 w:val="02070309020205020404"/>
    <w:charset w:val="01"/>
    <w:family w:val="modern"/>
    <w:pitch w:val="default"/>
    <w:sig w:usb0="E0002EFF" w:usb1="C0007843" w:usb2="00000009" w:usb3="00000000" w:csb0="400001FF" w:csb1="FFFF0000"/>
    <w:embedRegular r:id="rId2" w:fontKey="{B3D790AD-4306-4A7E-BB13-3CF46DFBCF9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1951A20-CC45-4C6F-AA3A-164806EC54F3}"/>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C702839C-3F2E-4BF2-84AD-F075511A5962}"/>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5" w:fontKey="{EAEC7F9F-8FD0-460E-95E0-7653FD584F54}"/>
  </w:font>
  <w:font w:name="仿宋">
    <w:panose1 w:val="02010609060101010101"/>
    <w:charset w:val="86"/>
    <w:family w:val="modern"/>
    <w:pitch w:val="default"/>
    <w:sig w:usb0="800002BF" w:usb1="38CF7CFA" w:usb2="00000016" w:usb3="00000000" w:csb0="00040001" w:csb1="00000000"/>
    <w:embedRegular r:id="rId6" w:fontKey="{B5E607F2-19FC-475B-A597-DDB3C2690888}"/>
  </w:font>
  <w:font w:name="等线">
    <w:panose1 w:val="02010600030101010101"/>
    <w:charset w:val="86"/>
    <w:family w:val="auto"/>
    <w:pitch w:val="default"/>
    <w:sig w:usb0="A00002BF" w:usb1="38CF7CFA" w:usb2="00000016" w:usb3="00000000" w:csb0="0004000F" w:csb1="00000000"/>
    <w:embedRegular r:id="rId7" w:fontKey="{9B9CDF82-8ADE-49D4-B00D-62A59A0B17DD}"/>
  </w:font>
  <w:font w:name="新宋体">
    <w:panose1 w:val="02010609030101010101"/>
    <w:charset w:val="86"/>
    <w:family w:val="modern"/>
    <w:pitch w:val="default"/>
    <w:sig w:usb0="00000203" w:usb1="288F0000" w:usb2="00000006" w:usb3="00000000" w:csb0="00040001" w:csb1="00000000"/>
    <w:embedRegular r:id="rId8" w:fontKey="{E23DD103-5C5F-47F8-B837-A95BE7739DA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97205" cy="236855"/>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497205" cy="236855"/>
                      </a:xfrm>
                      <a:prstGeom prst="rect">
                        <a:avLst/>
                      </a:prstGeom>
                      <a:noFill/>
                      <a:ln w="6350">
                        <a:noFill/>
                      </a:ln>
                      <a:effectLst/>
                    </wps:spPr>
                    <wps:txbx>
                      <w:txbxContent>
                        <w:p>
                          <w:pPr>
                            <w:pStyle w:val="12"/>
                            <w:rPr>
                              <w:rFonts w:eastAsia="仿宋"/>
                              <w:sz w:val="21"/>
                              <w:szCs w:val="21"/>
                            </w:rPr>
                          </w:pPr>
                          <w:r>
                            <w:rPr>
                              <w:rFonts w:eastAsia="仿宋"/>
                              <w:sz w:val="21"/>
                              <w:szCs w:val="21"/>
                            </w:rPr>
                            <w:fldChar w:fldCharType="begin"/>
                          </w:r>
                          <w:r>
                            <w:rPr>
                              <w:rFonts w:eastAsia="仿宋"/>
                              <w:sz w:val="21"/>
                              <w:szCs w:val="21"/>
                            </w:rPr>
                            <w:instrText xml:space="preserve"> PAGE  \* MERGEFORMAT </w:instrText>
                          </w:r>
                          <w:r>
                            <w:rPr>
                              <w:rFonts w:eastAsia="仿宋"/>
                              <w:sz w:val="21"/>
                              <w:szCs w:val="21"/>
                            </w:rPr>
                            <w:fldChar w:fldCharType="separate"/>
                          </w:r>
                          <w:r>
                            <w:rPr>
                              <w:rFonts w:eastAsia="仿宋"/>
                              <w:sz w:val="21"/>
                              <w:szCs w:val="21"/>
                            </w:rPr>
                            <w:t>1</w:t>
                          </w:r>
                          <w:r>
                            <w:rPr>
                              <w:rFonts w:eastAsia="仿宋"/>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top:0pt;height:18.65pt;width:39.15pt;mso-position-horizontal:center;mso-position-horizontal-relative:margin;z-index:251659264;mso-width-relative:page;mso-height-relative:page;" filled="f" stroked="f" coordsize="21600,21600" o:gfxdata="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3rXm/UAAAAAwEAAA8AAAAAAAAAAQAgAAAAIgAA&#10;AGRycy9kb3ducmV2LnhtbFBLAQIUABQAAAAIAIdO4kAvj3quRQIAAHkEAAAOAAAAAAAAAAEAIAAA&#10;ACMBAABkcnMvZTJvRG9jLnhtbFBLBQYAAAAABgAGAFkBAADaBQAAAAA=&#10;">
              <v:fill on="f" focussize="0,0"/>
              <v:stroke on="f" weight="0.5pt"/>
              <v:imagedata o:title=""/>
              <o:lock v:ext="edit" aspectratio="f"/>
              <v:textbox inset="0mm,0mm,0mm,0mm">
                <w:txbxContent>
                  <w:p>
                    <w:pPr>
                      <w:pStyle w:val="12"/>
                      <w:rPr>
                        <w:rFonts w:eastAsia="仿宋"/>
                        <w:sz w:val="21"/>
                        <w:szCs w:val="21"/>
                      </w:rPr>
                    </w:pPr>
                    <w:r>
                      <w:rPr>
                        <w:rFonts w:eastAsia="仿宋"/>
                        <w:sz w:val="21"/>
                        <w:szCs w:val="21"/>
                      </w:rPr>
                      <w:fldChar w:fldCharType="begin"/>
                    </w:r>
                    <w:r>
                      <w:rPr>
                        <w:rFonts w:eastAsia="仿宋"/>
                        <w:sz w:val="21"/>
                        <w:szCs w:val="21"/>
                      </w:rPr>
                      <w:instrText xml:space="preserve"> PAGE  \* MERGEFORMAT </w:instrText>
                    </w:r>
                    <w:r>
                      <w:rPr>
                        <w:rFonts w:eastAsia="仿宋"/>
                        <w:sz w:val="21"/>
                        <w:szCs w:val="21"/>
                      </w:rPr>
                      <w:fldChar w:fldCharType="separate"/>
                    </w:r>
                    <w:r>
                      <w:rPr>
                        <w:rFonts w:eastAsia="仿宋"/>
                        <w:sz w:val="21"/>
                        <w:szCs w:val="21"/>
                      </w:rPr>
                      <w:t>1</w:t>
                    </w:r>
                    <w:r>
                      <w:rPr>
                        <w:rFonts w:eastAsia="仿宋"/>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10185" cy="14732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210185" cy="147320"/>
                      </a:xfrm>
                      <a:prstGeom prst="rect">
                        <a:avLst/>
                      </a:prstGeom>
                      <a:noFill/>
                      <a:ln w="6350">
                        <a:noFill/>
                      </a:ln>
                    </wps:spPr>
                    <wps:txbx>
                      <w:txbxContent>
                        <w:p>
                          <w:pPr>
                            <w:pStyle w:val="12"/>
                            <w:rPr>
                              <w:rFonts w:hint="eastAsia"/>
                            </w:rPr>
                          </w:pPr>
                          <w:r>
                            <w:fldChar w:fldCharType="begin"/>
                          </w:r>
                          <w:r>
                            <w:instrText xml:space="preserve"> PAGE  \* MERGEFORMAT </w:instrText>
                          </w:r>
                          <w:r>
                            <w:fldChar w:fldCharType="separate"/>
                          </w:r>
                          <w:r>
                            <w:t>1</w:t>
                          </w:r>
                          <w:r>
                            <w:fldChar w:fldCharType="end"/>
                          </w:r>
                        </w:p>
                      </w:txbxContent>
                    </wps:txbx>
                    <wps:bodyPr wrap="square" lIns="0" tIns="0" rIns="0" bIns="0" upright="0"/>
                  </wps:wsp>
                </a:graphicData>
              </a:graphic>
            </wp:anchor>
          </w:drawing>
        </mc:Choice>
        <mc:Fallback>
          <w:pict>
            <v:shape id="文本框 11" o:spid="_x0000_s1026" o:spt="202" type="#_x0000_t202" style="position:absolute;left:0pt;margin-top:0pt;height:11.6pt;width:16.55pt;mso-position-horizontal:center;mso-position-horizontal-relative:margin;z-index:251662336;mso-width-relative:page;mso-height-relative:page;" filled="f" stroked="f" coordsize="21600,21600" o:gfxdata="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bJAr9MAAAADAQAADwAAAAAAAAABACAAAAAiAAAAZHJzL2Rv&#10;d25yZXYueG1sUEsBAhQAFAAAAAgAh07iQFST7ZfNAQAAiQMAAA4AAAAAAAAAAQAgAAAAIgEAAGRy&#10;cy9lMm9Eb2MueG1sUEsFBgAAAAAGAAYAWQEAAGEFAAAAAA==&#10;">
              <v:fill on="f" focussize="0,0"/>
              <v:stroke on="f" weight="0.5pt"/>
              <v:imagedata o:title=""/>
              <o:lock v:ext="edit" aspectratio="f"/>
              <v:textbox inset="0mm,0mm,0mm,0mm">
                <w:txbxContent>
                  <w:p>
                    <w:pPr>
                      <w:pStyle w:val="12"/>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MzdlZDUwMWE4OGI4M2E1MDJkNWQ1YzExMDZjZTkifQ=="/>
  </w:docVars>
  <w:rsids>
    <w:rsidRoot w:val="380A56D2"/>
    <w:rsid w:val="00012DC5"/>
    <w:rsid w:val="000503CB"/>
    <w:rsid w:val="000875A0"/>
    <w:rsid w:val="000D3845"/>
    <w:rsid w:val="000E1C14"/>
    <w:rsid w:val="00100547"/>
    <w:rsid w:val="00126163"/>
    <w:rsid w:val="001721A9"/>
    <w:rsid w:val="002A06FB"/>
    <w:rsid w:val="00321224"/>
    <w:rsid w:val="00321F7E"/>
    <w:rsid w:val="003518F7"/>
    <w:rsid w:val="003523D4"/>
    <w:rsid w:val="003E2EE4"/>
    <w:rsid w:val="003E5FE6"/>
    <w:rsid w:val="003F276A"/>
    <w:rsid w:val="00410BCA"/>
    <w:rsid w:val="004234D6"/>
    <w:rsid w:val="00433750"/>
    <w:rsid w:val="004A35AF"/>
    <w:rsid w:val="004B77B8"/>
    <w:rsid w:val="004E48D0"/>
    <w:rsid w:val="004F1EED"/>
    <w:rsid w:val="004F229B"/>
    <w:rsid w:val="005246E5"/>
    <w:rsid w:val="005F05EE"/>
    <w:rsid w:val="00605D10"/>
    <w:rsid w:val="0061507A"/>
    <w:rsid w:val="006171D9"/>
    <w:rsid w:val="00622D58"/>
    <w:rsid w:val="00623AEB"/>
    <w:rsid w:val="00630A9D"/>
    <w:rsid w:val="00675481"/>
    <w:rsid w:val="00685BBF"/>
    <w:rsid w:val="006F6147"/>
    <w:rsid w:val="0073014B"/>
    <w:rsid w:val="007545CD"/>
    <w:rsid w:val="00791B66"/>
    <w:rsid w:val="007C4C34"/>
    <w:rsid w:val="00805A0E"/>
    <w:rsid w:val="00813C37"/>
    <w:rsid w:val="00846390"/>
    <w:rsid w:val="008902E9"/>
    <w:rsid w:val="008A4A08"/>
    <w:rsid w:val="008C7956"/>
    <w:rsid w:val="008D0EFE"/>
    <w:rsid w:val="0095519B"/>
    <w:rsid w:val="00995D05"/>
    <w:rsid w:val="00A211CF"/>
    <w:rsid w:val="00A72114"/>
    <w:rsid w:val="00AF00C3"/>
    <w:rsid w:val="00B2405C"/>
    <w:rsid w:val="00B302B5"/>
    <w:rsid w:val="00B84541"/>
    <w:rsid w:val="00BD1795"/>
    <w:rsid w:val="00BE6E4B"/>
    <w:rsid w:val="00C07015"/>
    <w:rsid w:val="00C56DC1"/>
    <w:rsid w:val="00C758E3"/>
    <w:rsid w:val="00C866FC"/>
    <w:rsid w:val="00CF66BD"/>
    <w:rsid w:val="00D36BF8"/>
    <w:rsid w:val="00D83B54"/>
    <w:rsid w:val="00DB3936"/>
    <w:rsid w:val="00DE7205"/>
    <w:rsid w:val="00E0338E"/>
    <w:rsid w:val="00E753BD"/>
    <w:rsid w:val="00E810CE"/>
    <w:rsid w:val="00F14476"/>
    <w:rsid w:val="00F15B15"/>
    <w:rsid w:val="00F63500"/>
    <w:rsid w:val="00FB7561"/>
    <w:rsid w:val="01203FAE"/>
    <w:rsid w:val="0147153B"/>
    <w:rsid w:val="015C1748"/>
    <w:rsid w:val="019C2A21"/>
    <w:rsid w:val="01A63079"/>
    <w:rsid w:val="01A72A59"/>
    <w:rsid w:val="01D94722"/>
    <w:rsid w:val="01F00EFD"/>
    <w:rsid w:val="01F77248"/>
    <w:rsid w:val="020141AE"/>
    <w:rsid w:val="0207412C"/>
    <w:rsid w:val="02150313"/>
    <w:rsid w:val="029B5850"/>
    <w:rsid w:val="02C41057"/>
    <w:rsid w:val="02E43A3E"/>
    <w:rsid w:val="035E5C4F"/>
    <w:rsid w:val="0377675D"/>
    <w:rsid w:val="037B061F"/>
    <w:rsid w:val="03870314"/>
    <w:rsid w:val="03950013"/>
    <w:rsid w:val="03BC426F"/>
    <w:rsid w:val="044A59EC"/>
    <w:rsid w:val="04756D05"/>
    <w:rsid w:val="04891E6A"/>
    <w:rsid w:val="04A84222"/>
    <w:rsid w:val="04FE1036"/>
    <w:rsid w:val="052F2A11"/>
    <w:rsid w:val="05412745"/>
    <w:rsid w:val="057C7DBC"/>
    <w:rsid w:val="05E374D6"/>
    <w:rsid w:val="05F072C2"/>
    <w:rsid w:val="061371C7"/>
    <w:rsid w:val="065A669D"/>
    <w:rsid w:val="06A93823"/>
    <w:rsid w:val="06E710CA"/>
    <w:rsid w:val="07416A2C"/>
    <w:rsid w:val="07472049"/>
    <w:rsid w:val="074E5AEB"/>
    <w:rsid w:val="075C0F44"/>
    <w:rsid w:val="076369A2"/>
    <w:rsid w:val="07886409"/>
    <w:rsid w:val="07AA4413"/>
    <w:rsid w:val="07D666A3"/>
    <w:rsid w:val="07E140FB"/>
    <w:rsid w:val="07EA6D26"/>
    <w:rsid w:val="07EC6998"/>
    <w:rsid w:val="085A6F43"/>
    <w:rsid w:val="091351EF"/>
    <w:rsid w:val="09652EA6"/>
    <w:rsid w:val="09D75426"/>
    <w:rsid w:val="09E3201C"/>
    <w:rsid w:val="09F375E6"/>
    <w:rsid w:val="0A214EF0"/>
    <w:rsid w:val="0A483606"/>
    <w:rsid w:val="0A88171C"/>
    <w:rsid w:val="0AA97A7E"/>
    <w:rsid w:val="0AE3088B"/>
    <w:rsid w:val="0AFC7A6B"/>
    <w:rsid w:val="0B064214"/>
    <w:rsid w:val="0B107119"/>
    <w:rsid w:val="0B626F71"/>
    <w:rsid w:val="0B9742C2"/>
    <w:rsid w:val="0B9B5D31"/>
    <w:rsid w:val="0BB90713"/>
    <w:rsid w:val="0BBE21D7"/>
    <w:rsid w:val="0C3A53EB"/>
    <w:rsid w:val="0C605BA6"/>
    <w:rsid w:val="0CEA50D1"/>
    <w:rsid w:val="0DAA3395"/>
    <w:rsid w:val="0E3A5F83"/>
    <w:rsid w:val="0E4D3F08"/>
    <w:rsid w:val="0E7C47EE"/>
    <w:rsid w:val="0E9A0AA6"/>
    <w:rsid w:val="0EB57153"/>
    <w:rsid w:val="0F052866"/>
    <w:rsid w:val="10343602"/>
    <w:rsid w:val="10563548"/>
    <w:rsid w:val="107046AC"/>
    <w:rsid w:val="10B169D0"/>
    <w:rsid w:val="10BC00C3"/>
    <w:rsid w:val="10D91A83"/>
    <w:rsid w:val="10DF5113"/>
    <w:rsid w:val="10FD1C16"/>
    <w:rsid w:val="11205904"/>
    <w:rsid w:val="11380EA0"/>
    <w:rsid w:val="11B706A0"/>
    <w:rsid w:val="11C97D4A"/>
    <w:rsid w:val="11DC5CCF"/>
    <w:rsid w:val="11E84D8F"/>
    <w:rsid w:val="123F000C"/>
    <w:rsid w:val="127B2E25"/>
    <w:rsid w:val="12BE5350"/>
    <w:rsid w:val="12CD7044"/>
    <w:rsid w:val="12E658DD"/>
    <w:rsid w:val="12EF5F14"/>
    <w:rsid w:val="13082AF4"/>
    <w:rsid w:val="131F5B21"/>
    <w:rsid w:val="1340403C"/>
    <w:rsid w:val="1346589B"/>
    <w:rsid w:val="136F4619"/>
    <w:rsid w:val="13942DA9"/>
    <w:rsid w:val="139D43A5"/>
    <w:rsid w:val="13AE6A64"/>
    <w:rsid w:val="13D7164A"/>
    <w:rsid w:val="14465682"/>
    <w:rsid w:val="144C4B75"/>
    <w:rsid w:val="148F71CB"/>
    <w:rsid w:val="14AA10DA"/>
    <w:rsid w:val="14D902A4"/>
    <w:rsid w:val="14DD234F"/>
    <w:rsid w:val="14F70FF5"/>
    <w:rsid w:val="15192D96"/>
    <w:rsid w:val="151F0FD9"/>
    <w:rsid w:val="152F1252"/>
    <w:rsid w:val="156C736A"/>
    <w:rsid w:val="157636CA"/>
    <w:rsid w:val="157B57FF"/>
    <w:rsid w:val="158A3A76"/>
    <w:rsid w:val="167E55A7"/>
    <w:rsid w:val="16B7710B"/>
    <w:rsid w:val="16C669BE"/>
    <w:rsid w:val="175A77B8"/>
    <w:rsid w:val="17A54DB5"/>
    <w:rsid w:val="17D1324E"/>
    <w:rsid w:val="17F673BF"/>
    <w:rsid w:val="182201B4"/>
    <w:rsid w:val="183D6D9C"/>
    <w:rsid w:val="185E6B47"/>
    <w:rsid w:val="189124A0"/>
    <w:rsid w:val="18A27BC1"/>
    <w:rsid w:val="18BE47E4"/>
    <w:rsid w:val="196C51F6"/>
    <w:rsid w:val="19722A75"/>
    <w:rsid w:val="198665CE"/>
    <w:rsid w:val="19B57ADE"/>
    <w:rsid w:val="19C926D9"/>
    <w:rsid w:val="19CB3F93"/>
    <w:rsid w:val="1A646862"/>
    <w:rsid w:val="1B2A7AAB"/>
    <w:rsid w:val="1B5764EA"/>
    <w:rsid w:val="1B8A054A"/>
    <w:rsid w:val="1B9B5D8B"/>
    <w:rsid w:val="1B9E5DA3"/>
    <w:rsid w:val="1C27223D"/>
    <w:rsid w:val="1C2E403F"/>
    <w:rsid w:val="1C461A9C"/>
    <w:rsid w:val="1C686C05"/>
    <w:rsid w:val="1CA03476"/>
    <w:rsid w:val="1CBD25FA"/>
    <w:rsid w:val="1D297F0C"/>
    <w:rsid w:val="1D922670"/>
    <w:rsid w:val="1D9B3F05"/>
    <w:rsid w:val="1DD0420E"/>
    <w:rsid w:val="1DF10C0A"/>
    <w:rsid w:val="1E703639"/>
    <w:rsid w:val="1EC16A83"/>
    <w:rsid w:val="1EF719F1"/>
    <w:rsid w:val="1EFF4B5D"/>
    <w:rsid w:val="1F040613"/>
    <w:rsid w:val="1F5539D7"/>
    <w:rsid w:val="1F62533A"/>
    <w:rsid w:val="1F821148"/>
    <w:rsid w:val="1F884DB8"/>
    <w:rsid w:val="20050A1C"/>
    <w:rsid w:val="20066F7A"/>
    <w:rsid w:val="205630F0"/>
    <w:rsid w:val="205E19D1"/>
    <w:rsid w:val="20B302B6"/>
    <w:rsid w:val="20E95328"/>
    <w:rsid w:val="20FB5A46"/>
    <w:rsid w:val="21076199"/>
    <w:rsid w:val="21590CC5"/>
    <w:rsid w:val="21A32365"/>
    <w:rsid w:val="21F91F85"/>
    <w:rsid w:val="220E43BD"/>
    <w:rsid w:val="230A3644"/>
    <w:rsid w:val="23322C34"/>
    <w:rsid w:val="233E0581"/>
    <w:rsid w:val="23F247D1"/>
    <w:rsid w:val="24094E05"/>
    <w:rsid w:val="24254C5C"/>
    <w:rsid w:val="245B0CD5"/>
    <w:rsid w:val="24773635"/>
    <w:rsid w:val="24E753F8"/>
    <w:rsid w:val="24EA3FC5"/>
    <w:rsid w:val="24FA7214"/>
    <w:rsid w:val="25197261"/>
    <w:rsid w:val="25237319"/>
    <w:rsid w:val="25382DC5"/>
    <w:rsid w:val="254B6F9C"/>
    <w:rsid w:val="25920290"/>
    <w:rsid w:val="25D16D75"/>
    <w:rsid w:val="264E7968"/>
    <w:rsid w:val="267C4F33"/>
    <w:rsid w:val="2682263F"/>
    <w:rsid w:val="26D263AA"/>
    <w:rsid w:val="26D94133"/>
    <w:rsid w:val="26E85581"/>
    <w:rsid w:val="26F353F6"/>
    <w:rsid w:val="27433CA3"/>
    <w:rsid w:val="27636091"/>
    <w:rsid w:val="27713183"/>
    <w:rsid w:val="279524B5"/>
    <w:rsid w:val="279F35CF"/>
    <w:rsid w:val="27AE55C0"/>
    <w:rsid w:val="27E044CB"/>
    <w:rsid w:val="27FE6547"/>
    <w:rsid w:val="281231BB"/>
    <w:rsid w:val="28306FBE"/>
    <w:rsid w:val="283A50A6"/>
    <w:rsid w:val="28C013B8"/>
    <w:rsid w:val="28C16CE5"/>
    <w:rsid w:val="29001097"/>
    <w:rsid w:val="2964687E"/>
    <w:rsid w:val="29714AF7"/>
    <w:rsid w:val="29965557"/>
    <w:rsid w:val="29A54453"/>
    <w:rsid w:val="29C529A2"/>
    <w:rsid w:val="29DD3BEF"/>
    <w:rsid w:val="2A0C2A72"/>
    <w:rsid w:val="2AB83B38"/>
    <w:rsid w:val="2AC17296"/>
    <w:rsid w:val="2AD01CF1"/>
    <w:rsid w:val="2B2636BF"/>
    <w:rsid w:val="2B30453E"/>
    <w:rsid w:val="2BBE0940"/>
    <w:rsid w:val="2C163E61"/>
    <w:rsid w:val="2C267E1B"/>
    <w:rsid w:val="2C3342E6"/>
    <w:rsid w:val="2C4A2FD7"/>
    <w:rsid w:val="2C9107D4"/>
    <w:rsid w:val="2C9254B0"/>
    <w:rsid w:val="2CBD1634"/>
    <w:rsid w:val="2CC10499"/>
    <w:rsid w:val="2CD4097D"/>
    <w:rsid w:val="2CDA6E57"/>
    <w:rsid w:val="2D285E15"/>
    <w:rsid w:val="2D847B6B"/>
    <w:rsid w:val="2DAF19F2"/>
    <w:rsid w:val="2DB372A4"/>
    <w:rsid w:val="2DBC7637"/>
    <w:rsid w:val="2DE3488B"/>
    <w:rsid w:val="2E076941"/>
    <w:rsid w:val="2E2A34C6"/>
    <w:rsid w:val="2E334A71"/>
    <w:rsid w:val="2E4946B2"/>
    <w:rsid w:val="2E7A0426"/>
    <w:rsid w:val="2E81758A"/>
    <w:rsid w:val="2ED26038"/>
    <w:rsid w:val="2EE5736A"/>
    <w:rsid w:val="2EFD679E"/>
    <w:rsid w:val="2F1933C5"/>
    <w:rsid w:val="2F493843"/>
    <w:rsid w:val="2F8F5CD7"/>
    <w:rsid w:val="2FAA48BF"/>
    <w:rsid w:val="2FB50A87"/>
    <w:rsid w:val="2FF12338"/>
    <w:rsid w:val="30313232"/>
    <w:rsid w:val="305B02AF"/>
    <w:rsid w:val="30AC28B9"/>
    <w:rsid w:val="30AE4883"/>
    <w:rsid w:val="30BC5848"/>
    <w:rsid w:val="30BF25EC"/>
    <w:rsid w:val="30C36DDC"/>
    <w:rsid w:val="30E958BB"/>
    <w:rsid w:val="30EE1123"/>
    <w:rsid w:val="31655849"/>
    <w:rsid w:val="317E7A90"/>
    <w:rsid w:val="31B65ABC"/>
    <w:rsid w:val="31B706D6"/>
    <w:rsid w:val="31C7407A"/>
    <w:rsid w:val="31EB761C"/>
    <w:rsid w:val="31F44517"/>
    <w:rsid w:val="32026C34"/>
    <w:rsid w:val="32240312"/>
    <w:rsid w:val="326055B0"/>
    <w:rsid w:val="32717916"/>
    <w:rsid w:val="328320A3"/>
    <w:rsid w:val="32FD11AA"/>
    <w:rsid w:val="33301127"/>
    <w:rsid w:val="33507011"/>
    <w:rsid w:val="33D141AD"/>
    <w:rsid w:val="33DC625B"/>
    <w:rsid w:val="33E74334"/>
    <w:rsid w:val="341749AA"/>
    <w:rsid w:val="343155AF"/>
    <w:rsid w:val="34391304"/>
    <w:rsid w:val="34513E10"/>
    <w:rsid w:val="34A72C07"/>
    <w:rsid w:val="34D643A8"/>
    <w:rsid w:val="359F0C3E"/>
    <w:rsid w:val="35A25640"/>
    <w:rsid w:val="35D54660"/>
    <w:rsid w:val="35F37950"/>
    <w:rsid w:val="3667350A"/>
    <w:rsid w:val="369273BE"/>
    <w:rsid w:val="36AF37C9"/>
    <w:rsid w:val="36CE5337"/>
    <w:rsid w:val="370C3D16"/>
    <w:rsid w:val="371F3DE4"/>
    <w:rsid w:val="373238F8"/>
    <w:rsid w:val="37801807"/>
    <w:rsid w:val="37BC5AD7"/>
    <w:rsid w:val="37CD3840"/>
    <w:rsid w:val="37F4701F"/>
    <w:rsid w:val="3801173C"/>
    <w:rsid w:val="380A05F1"/>
    <w:rsid w:val="380A56D2"/>
    <w:rsid w:val="382B4CC0"/>
    <w:rsid w:val="38327B47"/>
    <w:rsid w:val="384B6E17"/>
    <w:rsid w:val="38521F98"/>
    <w:rsid w:val="386121DB"/>
    <w:rsid w:val="3862042D"/>
    <w:rsid w:val="38725FF8"/>
    <w:rsid w:val="38B569B5"/>
    <w:rsid w:val="38CC5E7A"/>
    <w:rsid w:val="38FF234C"/>
    <w:rsid w:val="39761149"/>
    <w:rsid w:val="39EB4452"/>
    <w:rsid w:val="39FB6471"/>
    <w:rsid w:val="3A233A9F"/>
    <w:rsid w:val="3ABD25E4"/>
    <w:rsid w:val="3ABF3ACF"/>
    <w:rsid w:val="3AC520C5"/>
    <w:rsid w:val="3AC727C9"/>
    <w:rsid w:val="3AE47A35"/>
    <w:rsid w:val="3B0D58F1"/>
    <w:rsid w:val="3B122FC0"/>
    <w:rsid w:val="3B283DB3"/>
    <w:rsid w:val="3B514788"/>
    <w:rsid w:val="3B6F4C0F"/>
    <w:rsid w:val="3BBE1A69"/>
    <w:rsid w:val="3BFF0A8F"/>
    <w:rsid w:val="3C095063"/>
    <w:rsid w:val="3C0A1751"/>
    <w:rsid w:val="3C153A08"/>
    <w:rsid w:val="3C215F09"/>
    <w:rsid w:val="3C354637"/>
    <w:rsid w:val="3C575CCF"/>
    <w:rsid w:val="3CCA078F"/>
    <w:rsid w:val="3CE749D8"/>
    <w:rsid w:val="3D2757A1"/>
    <w:rsid w:val="3D661C1F"/>
    <w:rsid w:val="3D776E54"/>
    <w:rsid w:val="3E607478"/>
    <w:rsid w:val="3E8310FD"/>
    <w:rsid w:val="3E9055C8"/>
    <w:rsid w:val="3E9C3F6D"/>
    <w:rsid w:val="3EDC5870"/>
    <w:rsid w:val="3EFC7330"/>
    <w:rsid w:val="3F235272"/>
    <w:rsid w:val="3F505C1B"/>
    <w:rsid w:val="3F83115D"/>
    <w:rsid w:val="3F91776A"/>
    <w:rsid w:val="3FF585C7"/>
    <w:rsid w:val="3FF70CD0"/>
    <w:rsid w:val="407B4C74"/>
    <w:rsid w:val="40B01F51"/>
    <w:rsid w:val="40CA052A"/>
    <w:rsid w:val="40F22A22"/>
    <w:rsid w:val="41594397"/>
    <w:rsid w:val="415E4840"/>
    <w:rsid w:val="41D7297A"/>
    <w:rsid w:val="41DB0EAA"/>
    <w:rsid w:val="4235270E"/>
    <w:rsid w:val="42692577"/>
    <w:rsid w:val="426F3EA2"/>
    <w:rsid w:val="429C3FB9"/>
    <w:rsid w:val="42A81132"/>
    <w:rsid w:val="42F8373B"/>
    <w:rsid w:val="432664FB"/>
    <w:rsid w:val="432713D2"/>
    <w:rsid w:val="4337638A"/>
    <w:rsid w:val="433E3844"/>
    <w:rsid w:val="4340580E"/>
    <w:rsid w:val="436F12E5"/>
    <w:rsid w:val="43B02575"/>
    <w:rsid w:val="43F839F3"/>
    <w:rsid w:val="44290050"/>
    <w:rsid w:val="444C3D3F"/>
    <w:rsid w:val="4463693E"/>
    <w:rsid w:val="4467501D"/>
    <w:rsid w:val="44EB79FC"/>
    <w:rsid w:val="44FD5ADB"/>
    <w:rsid w:val="456D0411"/>
    <w:rsid w:val="45AF27D7"/>
    <w:rsid w:val="45DD5596"/>
    <w:rsid w:val="45FE0685"/>
    <w:rsid w:val="46184820"/>
    <w:rsid w:val="46326F64"/>
    <w:rsid w:val="46576031"/>
    <w:rsid w:val="466E2692"/>
    <w:rsid w:val="46AC5657"/>
    <w:rsid w:val="46EE13F1"/>
    <w:rsid w:val="46F23CCC"/>
    <w:rsid w:val="471843AC"/>
    <w:rsid w:val="471E01E1"/>
    <w:rsid w:val="47317E87"/>
    <w:rsid w:val="47653A95"/>
    <w:rsid w:val="47AC1597"/>
    <w:rsid w:val="47C14A44"/>
    <w:rsid w:val="47C84EEC"/>
    <w:rsid w:val="47EF15B1"/>
    <w:rsid w:val="47EF4E28"/>
    <w:rsid w:val="47FF3AFD"/>
    <w:rsid w:val="48027536"/>
    <w:rsid w:val="482E032B"/>
    <w:rsid w:val="483D40CA"/>
    <w:rsid w:val="484553D2"/>
    <w:rsid w:val="488E4926"/>
    <w:rsid w:val="48B71645"/>
    <w:rsid w:val="48E924A4"/>
    <w:rsid w:val="48F350D1"/>
    <w:rsid w:val="49111C7F"/>
    <w:rsid w:val="495F7282"/>
    <w:rsid w:val="497955D6"/>
    <w:rsid w:val="49B800CA"/>
    <w:rsid w:val="49C30E2A"/>
    <w:rsid w:val="49E30CA1"/>
    <w:rsid w:val="49FD73E1"/>
    <w:rsid w:val="4A205A52"/>
    <w:rsid w:val="4A560560"/>
    <w:rsid w:val="4A931F4B"/>
    <w:rsid w:val="4A9E0A1C"/>
    <w:rsid w:val="4ADE6806"/>
    <w:rsid w:val="4AF14636"/>
    <w:rsid w:val="4BF350F1"/>
    <w:rsid w:val="4BF43A78"/>
    <w:rsid w:val="4BFA282F"/>
    <w:rsid w:val="4C207FDB"/>
    <w:rsid w:val="4C3350D8"/>
    <w:rsid w:val="4C567E51"/>
    <w:rsid w:val="4C9646F1"/>
    <w:rsid w:val="4CA3296A"/>
    <w:rsid w:val="4CE0596C"/>
    <w:rsid w:val="4CF465D6"/>
    <w:rsid w:val="4D010A9A"/>
    <w:rsid w:val="4D597AF4"/>
    <w:rsid w:val="4D9F25A8"/>
    <w:rsid w:val="4DC36C0B"/>
    <w:rsid w:val="4DC43A5B"/>
    <w:rsid w:val="4DE1374A"/>
    <w:rsid w:val="4E015694"/>
    <w:rsid w:val="4E2A28B9"/>
    <w:rsid w:val="4E2C2220"/>
    <w:rsid w:val="4E3C4E24"/>
    <w:rsid w:val="4E7C3473"/>
    <w:rsid w:val="4E9764FE"/>
    <w:rsid w:val="4ECC7F56"/>
    <w:rsid w:val="4F1F09CE"/>
    <w:rsid w:val="4F3F4BCC"/>
    <w:rsid w:val="4F674499"/>
    <w:rsid w:val="4F6C1739"/>
    <w:rsid w:val="4F895929"/>
    <w:rsid w:val="4FD863D7"/>
    <w:rsid w:val="4FDA1E85"/>
    <w:rsid w:val="4FDF1F0B"/>
    <w:rsid w:val="5012408F"/>
    <w:rsid w:val="50390F0A"/>
    <w:rsid w:val="504E6180"/>
    <w:rsid w:val="50901457"/>
    <w:rsid w:val="50A23670"/>
    <w:rsid w:val="50CB6D70"/>
    <w:rsid w:val="50D1662A"/>
    <w:rsid w:val="5100038B"/>
    <w:rsid w:val="510C6D30"/>
    <w:rsid w:val="512449FF"/>
    <w:rsid w:val="512B61AC"/>
    <w:rsid w:val="51443D35"/>
    <w:rsid w:val="51E41A5B"/>
    <w:rsid w:val="520B55A7"/>
    <w:rsid w:val="522C72C3"/>
    <w:rsid w:val="528D20F2"/>
    <w:rsid w:val="52954F82"/>
    <w:rsid w:val="52AF3E2F"/>
    <w:rsid w:val="52BC2E84"/>
    <w:rsid w:val="534D42CC"/>
    <w:rsid w:val="535578F0"/>
    <w:rsid w:val="535D1AC5"/>
    <w:rsid w:val="53EE5CD3"/>
    <w:rsid w:val="54177EC5"/>
    <w:rsid w:val="54520EFE"/>
    <w:rsid w:val="546225B7"/>
    <w:rsid w:val="54790B80"/>
    <w:rsid w:val="54882E8D"/>
    <w:rsid w:val="54B576DE"/>
    <w:rsid w:val="54ED6E78"/>
    <w:rsid w:val="551464B5"/>
    <w:rsid w:val="554E10BF"/>
    <w:rsid w:val="554F47FF"/>
    <w:rsid w:val="55921270"/>
    <w:rsid w:val="55B51856"/>
    <w:rsid w:val="55CF049B"/>
    <w:rsid w:val="55D3606E"/>
    <w:rsid w:val="55F6496E"/>
    <w:rsid w:val="55FC5040"/>
    <w:rsid w:val="561843C9"/>
    <w:rsid w:val="56B64AF5"/>
    <w:rsid w:val="56BE0ACC"/>
    <w:rsid w:val="56D22F13"/>
    <w:rsid w:val="56D976B4"/>
    <w:rsid w:val="56DBDF9A"/>
    <w:rsid w:val="56DD0A1C"/>
    <w:rsid w:val="56EB5639"/>
    <w:rsid w:val="56EBBEB8"/>
    <w:rsid w:val="57007320"/>
    <w:rsid w:val="5727549C"/>
    <w:rsid w:val="57323958"/>
    <w:rsid w:val="57392849"/>
    <w:rsid w:val="578552A9"/>
    <w:rsid w:val="57BB500C"/>
    <w:rsid w:val="57C06AC6"/>
    <w:rsid w:val="57E502DB"/>
    <w:rsid w:val="57E52685"/>
    <w:rsid w:val="57EC23D5"/>
    <w:rsid w:val="580B420D"/>
    <w:rsid w:val="581C323D"/>
    <w:rsid w:val="582D0E29"/>
    <w:rsid w:val="58503EDB"/>
    <w:rsid w:val="586B4C84"/>
    <w:rsid w:val="58823D7B"/>
    <w:rsid w:val="588365AC"/>
    <w:rsid w:val="58C47EF0"/>
    <w:rsid w:val="58D2260D"/>
    <w:rsid w:val="58EA597E"/>
    <w:rsid w:val="58F20481"/>
    <w:rsid w:val="58F24A5D"/>
    <w:rsid w:val="5953433D"/>
    <w:rsid w:val="59725B9E"/>
    <w:rsid w:val="59B12B6A"/>
    <w:rsid w:val="59B8115F"/>
    <w:rsid w:val="59C80051"/>
    <w:rsid w:val="59E130A5"/>
    <w:rsid w:val="5A0740B4"/>
    <w:rsid w:val="5A0A409B"/>
    <w:rsid w:val="5A382944"/>
    <w:rsid w:val="5A72FAA3"/>
    <w:rsid w:val="5B5469A3"/>
    <w:rsid w:val="5B720339"/>
    <w:rsid w:val="5B8FA06C"/>
    <w:rsid w:val="5B9E71EA"/>
    <w:rsid w:val="5BB020BD"/>
    <w:rsid w:val="5BB57FC4"/>
    <w:rsid w:val="5BBE327B"/>
    <w:rsid w:val="5BC00EF7"/>
    <w:rsid w:val="5BFB631F"/>
    <w:rsid w:val="5C0D18AD"/>
    <w:rsid w:val="5C1A7ED3"/>
    <w:rsid w:val="5C4E28F2"/>
    <w:rsid w:val="5C7B120D"/>
    <w:rsid w:val="5CC826A5"/>
    <w:rsid w:val="5CD435A4"/>
    <w:rsid w:val="5D007720"/>
    <w:rsid w:val="5D1507C5"/>
    <w:rsid w:val="5D1D108A"/>
    <w:rsid w:val="5D3513BC"/>
    <w:rsid w:val="5D785EAF"/>
    <w:rsid w:val="5DBEC9E9"/>
    <w:rsid w:val="5DF56C03"/>
    <w:rsid w:val="5E2E579E"/>
    <w:rsid w:val="5E7C0928"/>
    <w:rsid w:val="5E863E2A"/>
    <w:rsid w:val="5E8E1255"/>
    <w:rsid w:val="5EA52E2E"/>
    <w:rsid w:val="5EBB19D5"/>
    <w:rsid w:val="5ED762FC"/>
    <w:rsid w:val="5EE9021B"/>
    <w:rsid w:val="5F204D75"/>
    <w:rsid w:val="5F5D2E4C"/>
    <w:rsid w:val="5F7268F8"/>
    <w:rsid w:val="5F78509E"/>
    <w:rsid w:val="5F7E3A9C"/>
    <w:rsid w:val="5F976FE5"/>
    <w:rsid w:val="5F9A5E4E"/>
    <w:rsid w:val="5F9E5823"/>
    <w:rsid w:val="5FE570CA"/>
    <w:rsid w:val="606C77EB"/>
    <w:rsid w:val="609B1E7E"/>
    <w:rsid w:val="60C51985"/>
    <w:rsid w:val="60C767CF"/>
    <w:rsid w:val="60E23609"/>
    <w:rsid w:val="60E937C5"/>
    <w:rsid w:val="611C6A35"/>
    <w:rsid w:val="6121741E"/>
    <w:rsid w:val="612B3202"/>
    <w:rsid w:val="612E684E"/>
    <w:rsid w:val="61620D2D"/>
    <w:rsid w:val="618E31E9"/>
    <w:rsid w:val="61F45CEA"/>
    <w:rsid w:val="62830E1C"/>
    <w:rsid w:val="628F4CE0"/>
    <w:rsid w:val="629304BA"/>
    <w:rsid w:val="62B31701"/>
    <w:rsid w:val="62D11B87"/>
    <w:rsid w:val="63137B84"/>
    <w:rsid w:val="63514A76"/>
    <w:rsid w:val="635A7DCF"/>
    <w:rsid w:val="636011F9"/>
    <w:rsid w:val="63B5334E"/>
    <w:rsid w:val="63EF727F"/>
    <w:rsid w:val="640E56C3"/>
    <w:rsid w:val="643C74D4"/>
    <w:rsid w:val="6470245F"/>
    <w:rsid w:val="64A335B4"/>
    <w:rsid w:val="64BA077C"/>
    <w:rsid w:val="64C23E7D"/>
    <w:rsid w:val="65156566"/>
    <w:rsid w:val="65171032"/>
    <w:rsid w:val="654D1146"/>
    <w:rsid w:val="65C459D3"/>
    <w:rsid w:val="65F8742B"/>
    <w:rsid w:val="661C10B5"/>
    <w:rsid w:val="661E60E8"/>
    <w:rsid w:val="662F72F1"/>
    <w:rsid w:val="667623FF"/>
    <w:rsid w:val="6721561B"/>
    <w:rsid w:val="67584625"/>
    <w:rsid w:val="676D2AF6"/>
    <w:rsid w:val="677312F4"/>
    <w:rsid w:val="677B47B7"/>
    <w:rsid w:val="67851192"/>
    <w:rsid w:val="67EB3CE9"/>
    <w:rsid w:val="67F43143"/>
    <w:rsid w:val="67FE64CD"/>
    <w:rsid w:val="68294213"/>
    <w:rsid w:val="684A6F9A"/>
    <w:rsid w:val="685017A0"/>
    <w:rsid w:val="685A1FF7"/>
    <w:rsid w:val="68802085"/>
    <w:rsid w:val="688551FB"/>
    <w:rsid w:val="68F403D0"/>
    <w:rsid w:val="691675C8"/>
    <w:rsid w:val="692B4393"/>
    <w:rsid w:val="69316FB2"/>
    <w:rsid w:val="696C085C"/>
    <w:rsid w:val="69CC650F"/>
    <w:rsid w:val="69DA5B28"/>
    <w:rsid w:val="69FF509C"/>
    <w:rsid w:val="6A386990"/>
    <w:rsid w:val="6A7F5A92"/>
    <w:rsid w:val="6A8120E5"/>
    <w:rsid w:val="6A854972"/>
    <w:rsid w:val="6A9433F1"/>
    <w:rsid w:val="6A9E4A45"/>
    <w:rsid w:val="6ACC4ECC"/>
    <w:rsid w:val="6AEF520E"/>
    <w:rsid w:val="6AF44665"/>
    <w:rsid w:val="6B1116BB"/>
    <w:rsid w:val="6B3F241C"/>
    <w:rsid w:val="6B483AE5"/>
    <w:rsid w:val="6B5566D4"/>
    <w:rsid w:val="6B5F3400"/>
    <w:rsid w:val="6B685053"/>
    <w:rsid w:val="6B8160BD"/>
    <w:rsid w:val="6B885B8E"/>
    <w:rsid w:val="6B8C2AEF"/>
    <w:rsid w:val="6BBD539F"/>
    <w:rsid w:val="6BC11787"/>
    <w:rsid w:val="6C07603C"/>
    <w:rsid w:val="6C1040DB"/>
    <w:rsid w:val="6C733CAF"/>
    <w:rsid w:val="6C922387"/>
    <w:rsid w:val="6CA200F0"/>
    <w:rsid w:val="6CFA617E"/>
    <w:rsid w:val="6D4F6B5C"/>
    <w:rsid w:val="6D8223FC"/>
    <w:rsid w:val="6D841FBA"/>
    <w:rsid w:val="6DC01D08"/>
    <w:rsid w:val="6DC0341B"/>
    <w:rsid w:val="6DC742B3"/>
    <w:rsid w:val="6DD06E31"/>
    <w:rsid w:val="6E140A68"/>
    <w:rsid w:val="6E193A7B"/>
    <w:rsid w:val="6E6B10E2"/>
    <w:rsid w:val="6EAA61C6"/>
    <w:rsid w:val="6EF015E7"/>
    <w:rsid w:val="6EF61288"/>
    <w:rsid w:val="6F052B34"/>
    <w:rsid w:val="6F2354A5"/>
    <w:rsid w:val="6F396CEB"/>
    <w:rsid w:val="6F4B4B47"/>
    <w:rsid w:val="6F814935"/>
    <w:rsid w:val="6FE7F204"/>
    <w:rsid w:val="6FE8635C"/>
    <w:rsid w:val="703B28E5"/>
    <w:rsid w:val="703D6AAA"/>
    <w:rsid w:val="708E0A5B"/>
    <w:rsid w:val="70A46B2D"/>
    <w:rsid w:val="70EE064B"/>
    <w:rsid w:val="710C21B5"/>
    <w:rsid w:val="71297032"/>
    <w:rsid w:val="71375B23"/>
    <w:rsid w:val="713F607D"/>
    <w:rsid w:val="716B43F9"/>
    <w:rsid w:val="719353A9"/>
    <w:rsid w:val="71987CA4"/>
    <w:rsid w:val="71A87F57"/>
    <w:rsid w:val="71B608C6"/>
    <w:rsid w:val="71B96608"/>
    <w:rsid w:val="71CF0947"/>
    <w:rsid w:val="71FD64F5"/>
    <w:rsid w:val="720A7CE0"/>
    <w:rsid w:val="72281098"/>
    <w:rsid w:val="72614F83"/>
    <w:rsid w:val="72684135"/>
    <w:rsid w:val="72966EF6"/>
    <w:rsid w:val="72A67393"/>
    <w:rsid w:val="72C25048"/>
    <w:rsid w:val="72D8486C"/>
    <w:rsid w:val="73075151"/>
    <w:rsid w:val="732716AE"/>
    <w:rsid w:val="734F393C"/>
    <w:rsid w:val="735C01DB"/>
    <w:rsid w:val="73617D9E"/>
    <w:rsid w:val="737F73DD"/>
    <w:rsid w:val="73CA0659"/>
    <w:rsid w:val="73FD7DEB"/>
    <w:rsid w:val="74934EEE"/>
    <w:rsid w:val="74C16E40"/>
    <w:rsid w:val="74D177C5"/>
    <w:rsid w:val="752F2795"/>
    <w:rsid w:val="75916CDE"/>
    <w:rsid w:val="75947170"/>
    <w:rsid w:val="75E31EA6"/>
    <w:rsid w:val="75EB4C16"/>
    <w:rsid w:val="75FB61D2"/>
    <w:rsid w:val="76051E1C"/>
    <w:rsid w:val="765A03CD"/>
    <w:rsid w:val="765C57B4"/>
    <w:rsid w:val="766549FD"/>
    <w:rsid w:val="76876CD5"/>
    <w:rsid w:val="768865A9"/>
    <w:rsid w:val="768C6099"/>
    <w:rsid w:val="76BC3479"/>
    <w:rsid w:val="76BF021D"/>
    <w:rsid w:val="76D4359C"/>
    <w:rsid w:val="770A39CB"/>
    <w:rsid w:val="773E66FE"/>
    <w:rsid w:val="7773085E"/>
    <w:rsid w:val="777B5D78"/>
    <w:rsid w:val="777F57D6"/>
    <w:rsid w:val="77DAD6A2"/>
    <w:rsid w:val="77DB39FA"/>
    <w:rsid w:val="78006D3F"/>
    <w:rsid w:val="78051DE5"/>
    <w:rsid w:val="78306EF8"/>
    <w:rsid w:val="7844334C"/>
    <w:rsid w:val="78643B5C"/>
    <w:rsid w:val="786F17CF"/>
    <w:rsid w:val="78EF684D"/>
    <w:rsid w:val="79005F48"/>
    <w:rsid w:val="7910588B"/>
    <w:rsid w:val="79114E48"/>
    <w:rsid w:val="791D122B"/>
    <w:rsid w:val="79283153"/>
    <w:rsid w:val="793A002E"/>
    <w:rsid w:val="79727255"/>
    <w:rsid w:val="79ED4C4C"/>
    <w:rsid w:val="7A5C5D83"/>
    <w:rsid w:val="7A690A14"/>
    <w:rsid w:val="7A715CD2"/>
    <w:rsid w:val="7A963843"/>
    <w:rsid w:val="7ADB416A"/>
    <w:rsid w:val="7AEA15E0"/>
    <w:rsid w:val="7B061942"/>
    <w:rsid w:val="7B0F2381"/>
    <w:rsid w:val="7B135FC4"/>
    <w:rsid w:val="7B525459"/>
    <w:rsid w:val="7B7CB01D"/>
    <w:rsid w:val="7BEDAF10"/>
    <w:rsid w:val="7BFB5E3B"/>
    <w:rsid w:val="7C305719"/>
    <w:rsid w:val="7C5A14C2"/>
    <w:rsid w:val="7C612DC5"/>
    <w:rsid w:val="7C854FDD"/>
    <w:rsid w:val="7C860942"/>
    <w:rsid w:val="7CA13F21"/>
    <w:rsid w:val="7D5D130F"/>
    <w:rsid w:val="7D6513F2"/>
    <w:rsid w:val="7D9D2698"/>
    <w:rsid w:val="7DC46119"/>
    <w:rsid w:val="7DDD542C"/>
    <w:rsid w:val="7DE6699F"/>
    <w:rsid w:val="7DF764EE"/>
    <w:rsid w:val="7E0F31E3"/>
    <w:rsid w:val="7E5971A9"/>
    <w:rsid w:val="7E6DD630"/>
    <w:rsid w:val="7E8547F4"/>
    <w:rsid w:val="7E902DAF"/>
    <w:rsid w:val="7EBC505E"/>
    <w:rsid w:val="7EF46ED2"/>
    <w:rsid w:val="7F023364"/>
    <w:rsid w:val="7F261721"/>
    <w:rsid w:val="7FA91A6A"/>
    <w:rsid w:val="7FB87EFF"/>
    <w:rsid w:val="7FBE4DEA"/>
    <w:rsid w:val="7FBE96DF"/>
    <w:rsid w:val="7FCE4F6B"/>
    <w:rsid w:val="7FE3742F"/>
    <w:rsid w:val="7FFA70D2"/>
    <w:rsid w:val="A6FCDF36"/>
    <w:rsid w:val="AF7770F0"/>
    <w:rsid w:val="B7191826"/>
    <w:rsid w:val="BBFEA583"/>
    <w:rsid w:val="BCF65A29"/>
    <w:rsid w:val="BF7F2BA2"/>
    <w:rsid w:val="BFDF5639"/>
    <w:rsid w:val="DB7FA85D"/>
    <w:rsid w:val="DBBB23A2"/>
    <w:rsid w:val="DBDE945F"/>
    <w:rsid w:val="DF36602A"/>
    <w:rsid w:val="DF528D6B"/>
    <w:rsid w:val="E3FB6BC0"/>
    <w:rsid w:val="E6DD5AFD"/>
    <w:rsid w:val="EEFF9885"/>
    <w:rsid w:val="F2AD9BB3"/>
    <w:rsid w:val="F37FF973"/>
    <w:rsid w:val="F3BDCA5D"/>
    <w:rsid w:val="F57CE299"/>
    <w:rsid w:val="F5F1ECD9"/>
    <w:rsid w:val="F6BD6D7C"/>
    <w:rsid w:val="F6EDFA5F"/>
    <w:rsid w:val="F6EF1A1F"/>
    <w:rsid w:val="F7EBB005"/>
    <w:rsid w:val="F7EFEEF4"/>
    <w:rsid w:val="F87F5538"/>
    <w:rsid w:val="FBECF5C1"/>
    <w:rsid w:val="FBF76080"/>
    <w:rsid w:val="FDFDC89B"/>
    <w:rsid w:val="FE6F8112"/>
    <w:rsid w:val="FE6FAFEA"/>
    <w:rsid w:val="FE895133"/>
    <w:rsid w:val="FEDB7538"/>
    <w:rsid w:val="FF634719"/>
    <w:rsid w:val="FF6DF3DB"/>
    <w:rsid w:val="FF9E99F8"/>
    <w:rsid w:val="FFCB404D"/>
    <w:rsid w:val="FFEE0D17"/>
    <w:rsid w:val="FFFF24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5"/>
    <w:basedOn w:val="1"/>
    <w:next w:val="1"/>
    <w:autoRedefine/>
    <w:qFormat/>
    <w:uiPriority w:val="0"/>
    <w:pPr>
      <w:keepNext/>
      <w:keepLines/>
      <w:adjustRightInd w:val="0"/>
      <w:spacing w:before="280" w:after="290" w:line="376" w:lineRule="atLeast"/>
      <w:textAlignment w:val="baseline"/>
      <w:outlineLvl w:val="4"/>
    </w:pPr>
    <w:rPr>
      <w:b/>
      <w:kern w:val="0"/>
      <w:sz w:val="28"/>
      <w:szCs w:val="20"/>
    </w:rPr>
  </w:style>
  <w:style w:type="character" w:default="1" w:styleId="20">
    <w:name w:val="Default Paragraph Font"/>
    <w:autoRedefine/>
    <w:unhideWhenUsed/>
    <w:qFormat/>
    <w:uiPriority w:val="1"/>
  </w:style>
  <w:style w:type="table" w:default="1" w:styleId="18">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6">
    <w:name w:val="annotation text"/>
    <w:basedOn w:val="1"/>
    <w:link w:val="23"/>
    <w:autoRedefine/>
    <w:qFormat/>
    <w:uiPriority w:val="0"/>
    <w:pPr>
      <w:jc w:val="left"/>
    </w:pPr>
  </w:style>
  <w:style w:type="paragraph" w:styleId="7">
    <w:name w:val="Body Text"/>
    <w:basedOn w:val="1"/>
    <w:autoRedefine/>
    <w:qFormat/>
    <w:uiPriority w:val="0"/>
    <w:pPr>
      <w:spacing w:after="120"/>
    </w:pPr>
  </w:style>
  <w:style w:type="paragraph" w:styleId="8">
    <w:name w:val="Body Text Indent"/>
    <w:basedOn w:val="1"/>
    <w:next w:val="9"/>
    <w:link w:val="24"/>
    <w:autoRedefine/>
    <w:semiHidden/>
    <w:qFormat/>
    <w:uiPriority w:val="0"/>
    <w:pPr>
      <w:spacing w:line="390" w:lineRule="exact"/>
      <w:ind w:firstLine="480" w:firstLineChars="200"/>
    </w:pPr>
    <w:rPr>
      <w:rFonts w:eastAsia="方正仿宋简体"/>
      <w:sz w:val="24"/>
    </w:r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next w:val="1"/>
    <w:autoRedefine/>
    <w:qFormat/>
    <w:uiPriority w:val="0"/>
    <w:rPr>
      <w:rFonts w:ascii="宋体" w:hAnsi="Courier New"/>
    </w:rPr>
  </w:style>
  <w:style w:type="paragraph" w:styleId="11">
    <w:name w:val="Balloon Text"/>
    <w:basedOn w:val="1"/>
    <w:link w:val="25"/>
    <w:autoRedefine/>
    <w:qFormat/>
    <w:uiPriority w:val="0"/>
    <w:rPr>
      <w:sz w:val="18"/>
      <w:szCs w:val="18"/>
    </w:rPr>
  </w:style>
  <w:style w:type="paragraph" w:styleId="12">
    <w:name w:val="footer"/>
    <w:basedOn w:val="1"/>
    <w:autoRedefine/>
    <w:qFormat/>
    <w:uiPriority w:val="0"/>
    <w:pPr>
      <w:tabs>
        <w:tab w:val="center" w:pos="4153"/>
        <w:tab w:val="right" w:pos="8306"/>
      </w:tabs>
      <w:spacing w:line="240" w:lineRule="atLeast"/>
    </w:pPr>
    <w:rPr>
      <w:sz w:val="18"/>
    </w:rPr>
  </w:style>
  <w:style w:type="paragraph" w:styleId="13">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annotation subject"/>
    <w:basedOn w:val="6"/>
    <w:next w:val="6"/>
    <w:link w:val="26"/>
    <w:autoRedefine/>
    <w:qFormat/>
    <w:uiPriority w:val="0"/>
    <w:rPr>
      <w:b/>
      <w:bCs/>
    </w:rPr>
  </w:style>
  <w:style w:type="paragraph" w:styleId="17">
    <w:name w:val="Body Text First Indent 2"/>
    <w:basedOn w:val="8"/>
    <w:autoRedefine/>
    <w:qFormat/>
    <w:uiPriority w:val="0"/>
    <w:pPr>
      <w:spacing w:after="120" w:line="480" w:lineRule="exact"/>
      <w:ind w:left="420" w:leftChars="200" w:firstLine="420"/>
    </w:pPr>
    <w:rPr>
      <w:szCs w:val="20"/>
    </w:rPr>
  </w:style>
  <w:style w:type="table" w:styleId="19">
    <w:name w:val="Table Grid"/>
    <w:basedOn w:val="18"/>
    <w:autoRedefine/>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autoRedefine/>
    <w:qFormat/>
    <w:uiPriority w:val="0"/>
  </w:style>
  <w:style w:type="character" w:styleId="22">
    <w:name w:val="annotation reference"/>
    <w:autoRedefine/>
    <w:qFormat/>
    <w:uiPriority w:val="0"/>
    <w:rPr>
      <w:sz w:val="21"/>
      <w:szCs w:val="21"/>
    </w:rPr>
  </w:style>
  <w:style w:type="character" w:customStyle="1" w:styleId="23">
    <w:name w:val="批注文字 字符"/>
    <w:link w:val="6"/>
    <w:autoRedefine/>
    <w:qFormat/>
    <w:uiPriority w:val="0"/>
    <w:rPr>
      <w:rFonts w:ascii="Times New Roman" w:hAnsi="Times New Roman" w:eastAsia="宋体" w:cs="Times New Roman"/>
      <w:kern w:val="2"/>
      <w:sz w:val="21"/>
      <w:szCs w:val="24"/>
    </w:rPr>
  </w:style>
  <w:style w:type="character" w:customStyle="1" w:styleId="24">
    <w:name w:val="正文文本缩进 字符"/>
    <w:link w:val="8"/>
    <w:autoRedefine/>
    <w:qFormat/>
    <w:uiPriority w:val="0"/>
    <w:rPr>
      <w:kern w:val="2"/>
      <w:sz w:val="21"/>
      <w:szCs w:val="24"/>
    </w:rPr>
  </w:style>
  <w:style w:type="character" w:customStyle="1" w:styleId="25">
    <w:name w:val="批注框文本 字符"/>
    <w:link w:val="11"/>
    <w:autoRedefine/>
    <w:qFormat/>
    <w:uiPriority w:val="0"/>
    <w:rPr>
      <w:kern w:val="2"/>
      <w:sz w:val="18"/>
      <w:szCs w:val="18"/>
    </w:rPr>
  </w:style>
  <w:style w:type="character" w:customStyle="1" w:styleId="26">
    <w:name w:val="批注主题 字符"/>
    <w:link w:val="16"/>
    <w:autoRedefine/>
    <w:qFormat/>
    <w:uiPriority w:val="0"/>
    <w:rPr>
      <w:rFonts w:ascii="Times New Roman" w:hAnsi="Times New Roman" w:eastAsia="宋体" w:cs="Times New Roman"/>
      <w:b/>
      <w:bCs/>
      <w:kern w:val="2"/>
      <w:sz w:val="21"/>
      <w:szCs w:val="24"/>
    </w:rPr>
  </w:style>
  <w:style w:type="paragraph" w:customStyle="1" w:styleId="27">
    <w:name w:val="p0"/>
    <w:basedOn w:val="1"/>
    <w:autoRedefine/>
    <w:qFormat/>
    <w:uiPriority w:val="0"/>
    <w:pPr>
      <w:widowControl/>
      <w:snapToGrid w:val="0"/>
      <w:spacing w:line="360" w:lineRule="atLeast"/>
      <w:jc w:val="left"/>
    </w:pPr>
    <w:rPr>
      <w:kern w:val="0"/>
      <w:sz w:val="24"/>
    </w:rPr>
  </w:style>
  <w:style w:type="paragraph" w:customStyle="1" w:styleId="28">
    <w:name w:val="列表段落1"/>
    <w:basedOn w:val="1"/>
    <w:autoRedefine/>
    <w:qFormat/>
    <w:uiPriority w:val="34"/>
    <w:pPr>
      <w:ind w:firstLine="420" w:firstLineChars="200"/>
    </w:pPr>
  </w:style>
  <w:style w:type="paragraph" w:customStyle="1" w:styleId="29">
    <w:name w:val="reader-word-layer reader-word-s3-4 reader-word-s3-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表格"/>
    <w:basedOn w:val="1"/>
    <w:next w:val="1"/>
    <w:autoRedefine/>
    <w:qFormat/>
    <w:uiPriority w:val="0"/>
    <w:pPr>
      <w:jc w:val="center"/>
    </w:pPr>
    <w:rPr>
      <w:rFonts w:ascii="仿宋_GB2312" w:hAnsi="Arial" w:eastAsia="仿宋_GB2312"/>
      <w:sz w:val="24"/>
      <w:szCs w:val="32"/>
    </w:rPr>
  </w:style>
  <w:style w:type="paragraph" w:customStyle="1" w:styleId="31">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2">
    <w:name w:val="传神二级标题"/>
    <w:basedOn w:val="1"/>
    <w:autoRedefine/>
    <w:qFormat/>
    <w:uiPriority w:val="0"/>
    <w:pPr>
      <w:spacing w:line="440" w:lineRule="exact"/>
    </w:pPr>
    <w:rPr>
      <w:rFonts w:ascii="微软雅黑" w:hAnsi="微软雅黑" w:eastAsia="微软雅黑"/>
      <w:b/>
    </w:rPr>
  </w:style>
  <w:style w:type="paragraph" w:customStyle="1" w:styleId="33">
    <w:name w:val="正文首行缩进（绿盟科技）"/>
    <w:basedOn w:val="1"/>
    <w:autoRedefine/>
    <w:qFormat/>
    <w:uiPriority w:val="0"/>
    <w:pPr>
      <w:widowControl/>
      <w:spacing w:after="50" w:line="300" w:lineRule="auto"/>
      <w:ind w:firstLine="200" w:firstLineChars="200"/>
      <w:jc w:val="left"/>
    </w:pPr>
    <w:rPr>
      <w:rFonts w:ascii="Arial" w:hAnsi="Arial"/>
      <w:kern w:val="0"/>
      <w:szCs w:val="21"/>
    </w:rPr>
  </w:style>
  <w:style w:type="character" w:customStyle="1" w:styleId="34">
    <w:name w:val="正文文本首行缩进 2 字符"/>
    <w:autoRedefine/>
    <w:qFormat/>
    <w:uiPriority w:val="0"/>
    <w:rPr>
      <w:kern w:val="2"/>
      <w:sz w:val="21"/>
      <w:szCs w:val="24"/>
    </w:rPr>
  </w:style>
  <w:style w:type="character" w:customStyle="1" w:styleId="35">
    <w:name w:val="NormalCharacter"/>
    <w:autoRedefine/>
    <w:semiHidden/>
    <w:qFormat/>
    <w:uiPriority w:val="0"/>
  </w:style>
  <w:style w:type="paragraph" w:customStyle="1" w:styleId="36">
    <w:name w:val="_Style 35"/>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表格正文"/>
    <w:basedOn w:val="1"/>
    <w:autoRedefine/>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新闻宣传处</Company>
  <Pages>31</Pages>
  <Words>4429</Words>
  <Characters>4820</Characters>
  <Lines>407</Lines>
  <Paragraphs>299</Paragraphs>
  <TotalTime>14</TotalTime>
  <ScaleCrop>false</ScaleCrop>
  <LinksUpToDate>false</LinksUpToDate>
  <CharactersWithSpaces>5017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2024-05-16T19:12:00Z</dcterms:created>
  <dc:creator>bj</dc:creator>
  <cp:lastModifiedBy>李东伟</cp:lastModifiedBy>
  <cp:lastPrinted>2024-03-28T12:41:00Z</cp:lastPrinted>
  <dcterms:modified xsi:type="dcterms:W3CDTF">2025-07-21T13:09:02Z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EAA23F0EB9CF4484B350DA357C91FD66_13</vt:lpwstr>
  </property>
  <property fmtid="{D5CDD505-2E9C-101B-9397-08002B2CF9AE}" pid="4" name="KSOTemplateDocerSaveRecord">
    <vt:lpwstr>eyJoZGlkIjoiZjQzYjUyNjFiNTY0ZTMzMjZkYzg4MzcxNjAyMWViMzkiLCJ1c2VySWQiOiIyMTUwNzIxOTUifQ==</vt:lpwstr>
  </property>
</Properties>
</file>