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六里屯垃圾填埋场场区</w:t>
      </w: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环境监测服务采购服务</w:t>
      </w: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single"/>
          <w:lang w:val="en-US" w:eastAsia="zh-CN"/>
        </w:rPr>
      </w:pPr>
      <w:r>
        <w:rPr>
          <w:rFonts w:hint="eastAsia" w:ascii="宋体" w:hAnsi="宋体"/>
          <w:b/>
          <w:color w:val="000000"/>
          <w:sz w:val="32"/>
          <w:szCs w:val="32"/>
          <w:u w:val="single"/>
          <w:lang w:val="en-US" w:eastAsia="zh-CN"/>
        </w:rPr>
        <w:t>六里屯垃圾填埋场场区</w:t>
      </w: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none"/>
        </w:rPr>
      </w:pPr>
      <w:r>
        <w:rPr>
          <w:rFonts w:hint="eastAsia" w:ascii="宋体" w:hAnsi="宋体"/>
          <w:b/>
          <w:color w:val="000000"/>
          <w:sz w:val="32"/>
          <w:szCs w:val="32"/>
          <w:u w:val="single"/>
          <w:lang w:val="en-US" w:eastAsia="zh-CN"/>
        </w:rPr>
        <w:t>环境监测服务采购服务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ind w:left="841" w:leftChars="267" w:hanging="280" w:hangingChars="100"/>
        <w:jc w:val="lef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1</w:t>
      </w:r>
      <w:r>
        <w:rPr>
          <w:rFonts w:hint="eastAsia" w:ascii="宋体" w:hAnsi="宋体"/>
          <w:color w:val="000000"/>
          <w:sz w:val="28"/>
          <w:szCs w:val="28"/>
          <w:highlight w:val="none"/>
        </w:rPr>
        <w:t>）</w:t>
      </w:r>
      <w:r>
        <w:rPr>
          <w:rFonts w:hint="eastAsia" w:ascii="宋体" w:hAnsi="宋体"/>
          <w:color w:val="000000"/>
          <w:sz w:val="28"/>
          <w:szCs w:val="28"/>
          <w:highlight w:val="none"/>
          <w:lang w:eastAsia="zh-CN"/>
        </w:rPr>
        <w:t>服务</w:t>
      </w:r>
      <w:r>
        <w:rPr>
          <w:rFonts w:hint="eastAsia" w:ascii="宋体" w:hAnsi="宋体"/>
          <w:color w:val="000000"/>
          <w:sz w:val="28"/>
          <w:szCs w:val="28"/>
          <w:highlight w:val="none"/>
        </w:rPr>
        <w:t>地点：</w:t>
      </w:r>
      <w:r>
        <w:rPr>
          <w:rFonts w:hint="eastAsia" w:ascii="宋体" w:hAnsi="宋体"/>
          <w:color w:val="000000"/>
          <w:sz w:val="28"/>
          <w:szCs w:val="28"/>
          <w:highlight w:val="none"/>
          <w:lang w:eastAsia="zh-CN"/>
        </w:rPr>
        <w:t>海淀区六里屯垃圾填埋场</w:t>
      </w:r>
    </w:p>
    <w:p>
      <w:pPr>
        <w:tabs>
          <w:tab w:val="left" w:pos="8640"/>
        </w:tabs>
        <w:spacing w:line="360" w:lineRule="auto"/>
        <w:ind w:right="281" w:rightChars="134" w:firstLine="560" w:firstLineChars="200"/>
        <w:jc w:val="left"/>
        <w:rPr>
          <w:rFonts w:ascii="宋体" w:hAnsi="宋体"/>
          <w:bCs/>
          <w:color w:val="000000"/>
          <w:sz w:val="24"/>
          <w:highlight w:val="none"/>
        </w:rPr>
      </w:pPr>
      <w:r>
        <w:rPr>
          <w:rFonts w:hint="eastAsia" w:ascii="宋体" w:hAnsi="宋体"/>
          <w:color w:val="000000"/>
          <w:sz w:val="28"/>
          <w:szCs w:val="28"/>
          <w:highlight w:val="none"/>
          <w:lang w:val="en-US" w:eastAsia="zh-CN"/>
        </w:rPr>
        <w:t>2</w:t>
      </w:r>
      <w:r>
        <w:rPr>
          <w:rFonts w:hint="eastAsia" w:ascii="宋体" w:hAnsi="宋体"/>
          <w:color w:val="000000"/>
          <w:sz w:val="28"/>
          <w:szCs w:val="28"/>
          <w:highlight w:val="none"/>
          <w:lang w:eastAsia="zh-CN"/>
        </w:rPr>
        <w:t>）项目介绍：</w:t>
      </w:r>
      <w:r>
        <w:rPr>
          <w:rFonts w:hint="eastAsia" w:ascii="宋体" w:hAnsi="宋体"/>
          <w:bCs/>
          <w:color w:val="000000"/>
          <w:sz w:val="24"/>
          <w:highlight w:val="none"/>
        </w:rPr>
        <w:t>根据监测要求对</w:t>
      </w:r>
      <w:r>
        <w:rPr>
          <w:rFonts w:hint="eastAsia" w:ascii="宋体" w:hAnsi="宋体"/>
          <w:bCs/>
          <w:color w:val="000000"/>
          <w:sz w:val="24"/>
          <w:highlight w:val="none"/>
          <w:u w:val="single"/>
        </w:rPr>
        <w:t xml:space="preserve"> 北京市海淀区六里屯垃圾填埋场场区监测项目</w:t>
      </w:r>
      <w:r>
        <w:rPr>
          <w:rFonts w:hint="eastAsia" w:ascii="宋体" w:hAnsi="宋体"/>
          <w:bCs/>
          <w:color w:val="000000"/>
          <w:sz w:val="24"/>
          <w:highlight w:val="none"/>
        </w:rPr>
        <w:t>服务。其中包括现场采样资料（包括影像资料）、样品检测及出具检测报告、各监测项目月度、季度度分析报告（含数据统计分析及合理化建议），每半年、全年出具半年及年度总结报告，排污许可季度、年度执行报告的编制申报等工作。</w:t>
      </w:r>
    </w:p>
    <w:p>
      <w:pPr>
        <w:tabs>
          <w:tab w:val="left" w:pos="526"/>
        </w:tabs>
        <w:adjustRightInd w:val="0"/>
        <w:spacing w:line="360" w:lineRule="auto"/>
        <w:ind w:firstLine="560" w:firstLineChars="200"/>
        <w:jc w:val="left"/>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lang w:val="en-US" w:eastAsia="zh-CN"/>
        </w:rPr>
        <w:t>3</w:t>
      </w:r>
      <w:r>
        <w:rPr>
          <w:rFonts w:hint="eastAsia" w:ascii="宋体" w:hAnsi="宋体"/>
          <w:color w:val="000000"/>
          <w:sz w:val="28"/>
          <w:szCs w:val="28"/>
          <w:highlight w:val="none"/>
          <w:lang w:eastAsia="zh-CN"/>
        </w:rPr>
        <w:t>）服务期：</w:t>
      </w:r>
      <w:r>
        <w:rPr>
          <w:rFonts w:hint="eastAsia" w:ascii="宋体" w:hAnsi="宋体" w:eastAsia="宋体" w:cs="Times New Roman"/>
          <w:color w:val="000000"/>
          <w:kern w:val="0"/>
          <w:sz w:val="28"/>
          <w:szCs w:val="28"/>
          <w:highlight w:val="none"/>
          <w:lang w:val="en-US" w:eastAsia="zh-CN" w:bidi="ar-SA"/>
        </w:rPr>
        <w:t xml:space="preserve">一年 </w:t>
      </w:r>
    </w:p>
    <w:p>
      <w:pPr>
        <w:keepNext w:val="0"/>
        <w:keepLines w:val="0"/>
        <w:pageBreakBefore w:val="0"/>
        <w:widowControl w:val="0"/>
        <w:numPr>
          <w:ilvl w:val="0"/>
          <w:numId w:val="0"/>
        </w:numPr>
        <w:kinsoku/>
        <w:wordWrap/>
        <w:overflowPunct/>
        <w:topLinePunct w:val="0"/>
        <w:bidi w:val="0"/>
        <w:snapToGrid w:val="0"/>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lang w:eastAsia="zh-CN"/>
        </w:rPr>
        <w:t>）委托内容</w:t>
      </w:r>
      <w:r>
        <w:rPr>
          <w:rFonts w:hint="eastAsia" w:ascii="宋体" w:hAnsi="宋体"/>
          <w:color w:val="000000"/>
          <w:sz w:val="28"/>
          <w:szCs w:val="28"/>
          <w:highlight w:val="none"/>
        </w:rPr>
        <w:t>：</w:t>
      </w:r>
    </w:p>
    <w:p>
      <w:pPr>
        <w:spacing w:line="360" w:lineRule="auto"/>
        <w:ind w:firstLine="360" w:firstLineChars="150"/>
        <w:rPr>
          <w:rFonts w:hint="eastAsia" w:ascii="宋体" w:hAnsi="宋体" w:cs="仿宋_GB2312"/>
          <w:color w:val="000000"/>
          <w:sz w:val="24"/>
          <w:highlight w:val="none"/>
        </w:rPr>
      </w:pPr>
      <w:r>
        <w:rPr>
          <w:rFonts w:hint="eastAsia" w:ascii="宋体" w:hAnsi="宋体" w:cs="仿宋_GB2312"/>
          <w:color w:val="000000"/>
          <w:sz w:val="24"/>
          <w:highlight w:val="none"/>
        </w:rPr>
        <w:t>我场环境监测内容主要包括地下水水质监测、厂界大气监测、有组织废气监测、厂界噪音监测、外排水水质监测、场界噪声监测、油烟监测、渗滤液原液及渗滤液处理设施出水水质监测、清水井原液及清水井整治项目出水水质监测、电厂排放烟气监测等；为保证生活污水达标排放、中水达标使用，安排生活污水和中水水质监测；工作需要临时安排监测项目，监测类别及监测项目见下表。</w:t>
      </w:r>
    </w:p>
    <w:p>
      <w:pPr>
        <w:rPr>
          <w:rFonts w:ascii="宋体" w:hAnsi="宋体"/>
          <w:color w:val="000000"/>
          <w:sz w:val="24"/>
          <w:highlight w:val="none"/>
        </w:rPr>
      </w:pPr>
    </w:p>
    <w:tbl>
      <w:tblPr>
        <w:tblStyle w:val="7"/>
        <w:tblW w:w="9500" w:type="dxa"/>
        <w:jc w:val="center"/>
        <w:tblLayout w:type="fixed"/>
        <w:tblCellMar>
          <w:top w:w="15" w:type="dxa"/>
          <w:left w:w="15" w:type="dxa"/>
          <w:bottom w:w="15" w:type="dxa"/>
          <w:right w:w="15" w:type="dxa"/>
        </w:tblCellMar>
      </w:tblPr>
      <w:tblGrid>
        <w:gridCol w:w="711"/>
        <w:gridCol w:w="1231"/>
        <w:gridCol w:w="4900"/>
        <w:gridCol w:w="710"/>
        <w:gridCol w:w="1279"/>
        <w:gridCol w:w="669"/>
      </w:tblGrid>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序号</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类别</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监测项目</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点位</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监测频次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年次数</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地下水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pH值、氨氮、氟化物、总硬度、高锰酸盐指数、镉、汞、挥发酚类、硫酸盐、六价铬、氯化物、锰、铅、氰化物、溶解性总固体、砷、铁、铜、硝酸盐氮、锌、亚硝酸盐氮、总大肠菌群、铬、镍、铍</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9</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每月二次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24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场界大气</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总悬浮颗粒物、甲烷、氨、硫化氢、臭气浓度、甲硫醇、甲硫醚、二甲二硫、二硫化碳、三甲胺、苯乙烯</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4</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每月监测一次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渗滤液处理设施出水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pH值、色度、悬浮物、化学需氧量、生化需氧量、氨氮、总磷、总氮、粪大肠菌群、六价铬、总铬、总铅、总镉、总汞、总砷、溶解性总固体</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每月一次，有异常加测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噪声</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连续等效A声级，昼夜</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9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雨水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固体悬浮物、化学需氧量</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雨季时每月一次，雨季按四个月计算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油烟</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颗粒物、油烟、非甲烷总烃</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每年一次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生活污水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pH值、化学需氧量、氨氮、阴离子表面活性剂、动植物油、</w:t>
            </w:r>
            <w:r>
              <w:rPr>
                <w:rFonts w:ascii="宋体" w:hAnsi="宋体" w:eastAsia="宋体" w:cs="宋体"/>
                <w:color w:val="000000"/>
                <w:kern w:val="0"/>
                <w:sz w:val="18"/>
                <w:szCs w:val="18"/>
                <w:highlight w:val="none"/>
              </w:rPr>
              <w:t>SS</w:t>
            </w:r>
            <w:r>
              <w:rPr>
                <w:rFonts w:hint="eastAsia" w:ascii="宋体" w:hAnsi="宋体" w:eastAsia="宋体" w:cs="宋体"/>
                <w:color w:val="000000"/>
                <w:kern w:val="0"/>
                <w:sz w:val="18"/>
                <w:szCs w:val="18"/>
                <w:highlight w:val="none"/>
              </w:rPr>
              <w:t>、总磷</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中水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pH值、氨氮、色度、生化需氧量、浊度、总大肠菌群、溶解性总固体、阴离子表面活性剂、铁、锰、溶解氧、总余氯、嗅</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有组织废气</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氨、硫化氢、臭气浓度、甲硫醇、甲硫醚、二甲二硫、二硫化碳、三甲胺、苯乙烯</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w:t>
            </w:r>
            <w:r>
              <w:rPr>
                <w:rFonts w:hint="eastAsia" w:ascii="宋体" w:hAnsi="宋体" w:eastAsia="宋体" w:cs="宋体"/>
                <w:color w:val="000000"/>
                <w:kern w:val="0"/>
                <w:sz w:val="18"/>
                <w:szCs w:val="18"/>
                <w:highlight w:val="none"/>
                <w:lang w:val="en-US" w:eastAsia="zh-CN"/>
              </w:rPr>
              <w:t>季度</w:t>
            </w:r>
            <w:r>
              <w:rPr>
                <w:rFonts w:hint="eastAsia" w:ascii="宋体" w:hAnsi="宋体" w:eastAsia="宋体" w:cs="宋体"/>
                <w:color w:val="000000"/>
                <w:kern w:val="0"/>
                <w:sz w:val="18"/>
                <w:szCs w:val="18"/>
                <w:highlight w:val="none"/>
              </w:rPr>
              <w:t>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清水井整治项目出水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 值、氨氮、化学需氧量、生化需氧量、悬浮物、总氮、总磷、总溶解性固体</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每周监测一次，水质异常加测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550吨渗滤液处理设施出口</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 值、氨氮、化学需氧量、生化需氧量、悬浮物、总氮、总磷</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每周监测一次，水质异常加测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渗滤液原水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pH、化学需氧量、氨氮、溶解性固体、氯化物</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每月一次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清水井原水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Calibri"/>
                <w:color w:val="000000"/>
                <w:sz w:val="18"/>
                <w:szCs w:val="18"/>
                <w:highlight w:val="none"/>
              </w:rPr>
            </w:pPr>
            <w:r>
              <w:rPr>
                <w:rFonts w:hint="eastAsia" w:ascii="宋体" w:hAnsi="宋体" w:eastAsia="宋体" w:cs="宋体"/>
                <w:color w:val="000000"/>
                <w:kern w:val="0"/>
                <w:sz w:val="18"/>
                <w:szCs w:val="18"/>
                <w:highlight w:val="none"/>
              </w:rPr>
              <w:t>pH、化学需氧量、氨氮</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华泰电厂烟气排放</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Calibri"/>
                <w:color w:val="000000"/>
                <w:sz w:val="18"/>
                <w:szCs w:val="18"/>
                <w:highlight w:val="none"/>
              </w:rPr>
              <w:t>二氧化硫、氮氧化物、一氧化碳</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西北清水泵井</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Calibri"/>
                <w:color w:val="000000"/>
                <w:sz w:val="18"/>
                <w:szCs w:val="18"/>
                <w:highlight w:val="none"/>
              </w:rPr>
            </w:pPr>
            <w:r>
              <w:rPr>
                <w:rFonts w:hint="eastAsia" w:ascii="宋体" w:hAnsi="宋体" w:eastAsia="宋体" w:cs="Calibri"/>
                <w:color w:val="000000"/>
                <w:sz w:val="18"/>
                <w:szCs w:val="18"/>
                <w:highlight w:val="none"/>
              </w:rPr>
              <w:t>pH值、氨氮、氟化物、总硬度、高锰酸盐指数、镉、汞、挥发酚类、硫酸盐、六价铬、氯化物、锰、铅、氰化物、</w:t>
            </w:r>
            <w:r>
              <w:rPr>
                <w:rFonts w:hint="eastAsia" w:ascii="宋体" w:hAnsi="宋体" w:eastAsia="宋体" w:cs="宋体"/>
                <w:color w:val="000000"/>
                <w:kern w:val="0"/>
                <w:sz w:val="18"/>
                <w:szCs w:val="18"/>
                <w:highlight w:val="none"/>
              </w:rPr>
              <w:t>溶解性总固体</w:t>
            </w:r>
            <w:r>
              <w:rPr>
                <w:rFonts w:hint="eastAsia" w:ascii="宋体" w:hAnsi="宋体" w:eastAsia="宋体" w:cs="Calibri"/>
                <w:color w:val="000000"/>
                <w:sz w:val="18"/>
                <w:szCs w:val="18"/>
                <w:highlight w:val="none"/>
              </w:rPr>
              <w:t>、砷、铁、铜、硝酸盐氮、锌、亚硝酸盐氮、总大肠菌群、铬、镍、铍</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每月二次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采样费</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每周一次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74"/>
              </w:tabs>
              <w:spacing w:line="360" w:lineRule="auto"/>
              <w:jc w:val="left"/>
              <w:textAlignment w:val="center"/>
              <w:rPr>
                <w:rFonts w:hint="eastAsia" w:ascii="宋体" w:hAnsi="宋体" w:eastAsia="宋体" w:cs="宋体"/>
                <w:color w:val="000000"/>
                <w:kern w:val="0"/>
                <w:sz w:val="18"/>
                <w:szCs w:val="18"/>
                <w:highlight w:val="none"/>
                <w:lang w:val="en" w:eastAsia="zh-CN"/>
              </w:rPr>
            </w:pPr>
            <w:r>
              <w:rPr>
                <w:rFonts w:hint="eastAsia" w:ascii="宋体" w:hAnsi="宋体" w:cs="宋体"/>
                <w:color w:val="000000"/>
                <w:kern w:val="0"/>
                <w:sz w:val="18"/>
                <w:szCs w:val="18"/>
                <w:highlight w:val="none"/>
                <w:lang w:val="en" w:eastAsia="zh-CN"/>
              </w:rPr>
              <w:t>排污许可及环保要求进行信息和数据填报</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cs="宋体"/>
                <w:color w:val="000000"/>
                <w:sz w:val="18"/>
                <w:szCs w:val="18"/>
                <w:highlight w:val="none"/>
                <w:lang w:eastAsia="zh-CN"/>
              </w:rPr>
              <w:t>填写排污许可证执行报告</w:t>
            </w:r>
            <w:r>
              <w:rPr>
                <w:rFonts w:hint="eastAsia" w:ascii="宋体" w:hAnsi="宋体" w:cs="宋体"/>
                <w:color w:val="000000"/>
                <w:sz w:val="18"/>
                <w:szCs w:val="18"/>
                <w:highlight w:val="none"/>
                <w:lang w:val="en-US" w:eastAsia="zh-CN"/>
              </w:rPr>
              <w:t>,排污许可变更,配合排污许可年度核查等相关工作</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r>
      <w:tr>
        <w:tblPrEx>
          <w:tblCellMar>
            <w:top w:w="15" w:type="dxa"/>
            <w:left w:w="15" w:type="dxa"/>
            <w:bottom w:w="15" w:type="dxa"/>
            <w:right w:w="15" w:type="dxa"/>
          </w:tblCellMar>
        </w:tblPrEx>
        <w:trPr>
          <w:trHeight w:val="801"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lang w:val="en-US" w:eastAsia="zh-CN"/>
              </w:rPr>
              <w:t>17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临时安排监测项目</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渗滤液、地下水等临时应急检测</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p>
        </w:tc>
        <w:tc>
          <w:tcPr>
            <w:tcW w:w="19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以实际发生为准</w:t>
            </w:r>
          </w:p>
        </w:tc>
      </w:tr>
    </w:tbl>
    <w:p>
      <w:pPr>
        <w:spacing w:line="360" w:lineRule="auto"/>
        <w:ind w:firstLine="480" w:firstLineChars="200"/>
        <w:rPr>
          <w:rFonts w:hint="default" w:ascii="宋体" w:hAnsi="宋体" w:cs="仿宋_GB2312"/>
          <w:color w:val="000000"/>
          <w:sz w:val="24"/>
          <w:highlight w:val="none"/>
        </w:rPr>
      </w:pPr>
      <w:r>
        <w:rPr>
          <w:rFonts w:hint="eastAsia" w:ascii="宋体" w:hAnsi="宋体" w:cs="仿宋_GB2312"/>
          <w:color w:val="000000"/>
          <w:sz w:val="24"/>
          <w:highlight w:val="none"/>
        </w:rPr>
        <w:t>（1）</w:t>
      </w:r>
      <w:r>
        <w:rPr>
          <w:rFonts w:hint="default" w:ascii="宋体" w:hAnsi="宋体" w:cs="仿宋_GB2312"/>
          <w:color w:val="000000"/>
          <w:sz w:val="24"/>
          <w:highlight w:val="none"/>
        </w:rPr>
        <w:t>以上监测项内容有可能根据实际情况发生变更，最终结算以实际发生量为准。</w:t>
      </w:r>
    </w:p>
    <w:p>
      <w:pPr>
        <w:spacing w:line="360" w:lineRule="auto"/>
        <w:ind w:firstLine="424" w:firstLineChars="177"/>
        <w:rPr>
          <w:rFonts w:ascii="宋体" w:hAnsi="宋体" w:cs="仿宋_GB2312"/>
          <w:color w:val="000000"/>
          <w:sz w:val="24"/>
          <w:highlight w:val="none"/>
        </w:rPr>
      </w:pPr>
      <w:r>
        <w:rPr>
          <w:rFonts w:hint="eastAsia" w:ascii="宋体" w:hAnsi="宋体" w:cs="仿宋_GB2312"/>
          <w:color w:val="000000"/>
          <w:sz w:val="24"/>
          <w:highlight w:val="none"/>
        </w:rPr>
        <w:t>（2）备注中有具体实施要求的，按要求执行。</w:t>
      </w:r>
    </w:p>
    <w:p>
      <w:pPr>
        <w:spacing w:line="360" w:lineRule="auto"/>
        <w:ind w:firstLine="424" w:firstLineChars="177"/>
        <w:rPr>
          <w:rFonts w:ascii="宋体" w:hAnsi="宋体" w:cs="仿宋_GB2312"/>
          <w:color w:val="000000"/>
          <w:sz w:val="24"/>
          <w:highlight w:val="none"/>
        </w:rPr>
      </w:pPr>
      <w:r>
        <w:rPr>
          <w:rFonts w:hint="eastAsia" w:ascii="宋体" w:hAnsi="宋体" w:cs="仿宋_GB2312"/>
          <w:color w:val="000000"/>
          <w:sz w:val="24"/>
          <w:highlight w:val="none"/>
        </w:rPr>
        <w:t>（3）采样点位需在检测报告厂区平面图中标注。</w:t>
      </w:r>
    </w:p>
    <w:p>
      <w:pPr>
        <w:spacing w:line="360" w:lineRule="auto"/>
        <w:ind w:firstLine="424" w:firstLineChars="177"/>
        <w:rPr>
          <w:rFonts w:ascii="宋体" w:hAnsi="宋体" w:cs="仿宋_GB2312"/>
          <w:color w:val="000000"/>
          <w:sz w:val="24"/>
          <w:highlight w:val="none"/>
        </w:rPr>
      </w:pPr>
      <w:r>
        <w:rPr>
          <w:rFonts w:hint="eastAsia" w:ascii="宋体" w:hAnsi="宋体" w:cs="仿宋_GB2312"/>
          <w:color w:val="000000"/>
          <w:sz w:val="24"/>
          <w:highlight w:val="none"/>
        </w:rPr>
        <w:t>（4）检测报告中，应标注各项目的达标标准。</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lang w:val="en-US" w:eastAsia="zh-CN"/>
        </w:rPr>
        <w:t>5）</w:t>
      </w:r>
      <w:r>
        <w:rPr>
          <w:rFonts w:hint="eastAsia" w:ascii="宋体" w:hAnsi="宋体" w:cs="仿宋_GB2312"/>
          <w:color w:val="000000"/>
          <w:sz w:val="24"/>
          <w:highlight w:val="none"/>
        </w:rPr>
        <w:t>监测依据</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（1)该监测项目需严格按照以下评价标准依据实施：</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（2)《生活垃圾填埋场污染控制标准》（GB16889-20</w:t>
      </w:r>
      <w:r>
        <w:rPr>
          <w:rFonts w:hint="eastAsia" w:ascii="宋体" w:hAnsi="宋体" w:cs="仿宋_GB2312"/>
          <w:color w:val="000000"/>
          <w:sz w:val="24"/>
          <w:highlight w:val="none"/>
          <w:lang w:val="en-US" w:eastAsia="zh-CN"/>
        </w:rPr>
        <w:t>24</w:t>
      </w:r>
      <w:r>
        <w:rPr>
          <w:rFonts w:hint="eastAsia" w:ascii="宋体" w:hAnsi="宋体" w:cs="仿宋_GB2312"/>
          <w:color w:val="000000"/>
          <w:sz w:val="24"/>
          <w:highlight w:val="none"/>
        </w:rPr>
        <w:t>)</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（3)《水污染物综合排放标准》（DB11/307-2013)表1(B)</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（4）《餐饮业大气污染物排放标准》（DB11/ 1488-2018）</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（5)《地下水质量标准》（GB/T14848-2017)Ⅲ类</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（6)《城市污水再生利用城市杂用水水质》（GB/T18920-20</w:t>
      </w:r>
      <w:r>
        <w:rPr>
          <w:rFonts w:hint="eastAsia" w:ascii="宋体" w:hAnsi="宋体" w:cs="仿宋_GB2312"/>
          <w:color w:val="000000"/>
          <w:sz w:val="24"/>
          <w:highlight w:val="none"/>
          <w:lang w:val="en-US" w:eastAsia="zh-CN"/>
        </w:rPr>
        <w:t>20</w:t>
      </w:r>
      <w:r>
        <w:rPr>
          <w:rFonts w:hint="eastAsia" w:ascii="宋体" w:hAnsi="宋体" w:cs="仿宋_GB2312"/>
          <w:color w:val="000000"/>
          <w:sz w:val="24"/>
          <w:highlight w:val="none"/>
        </w:rPr>
        <w:t>)相关要求后全融回用（道路清扫）</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（7)《大气污染物综合排放标准》（DB11/501-20</w:t>
      </w:r>
      <w:r>
        <w:rPr>
          <w:rFonts w:hint="eastAsia" w:ascii="宋体" w:hAnsi="宋体" w:cs="仿宋_GB2312"/>
          <w:color w:val="000000"/>
          <w:sz w:val="24"/>
          <w:highlight w:val="none"/>
          <w:lang w:val="en-US" w:eastAsia="zh-CN"/>
        </w:rPr>
        <w:t>17</w:t>
      </w:r>
      <w:r>
        <w:rPr>
          <w:rFonts w:hint="eastAsia" w:ascii="宋体" w:hAnsi="宋体" w:cs="仿宋_GB2312"/>
          <w:color w:val="000000"/>
          <w:sz w:val="24"/>
          <w:highlight w:val="none"/>
        </w:rPr>
        <w:t>)</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（8)《恶臭污染物排放标准》（GB14554-93)二级</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（9)《工业企业厂界环境噪声排放标准》（GB12348-2008)中一类限值，昼间55號（A),夜间45dB(A)</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（10)锅炉大气污染物排放标准（DB11</w:t>
      </w:r>
      <w:r>
        <w:rPr>
          <w:rFonts w:hint="eastAsia" w:ascii="宋体" w:hAnsi="宋体" w:cs="仿宋_GB2312"/>
          <w:color w:val="000000"/>
          <w:sz w:val="24"/>
          <w:highlight w:val="none"/>
          <w:lang w:val="en-US" w:eastAsia="zh-CN"/>
        </w:rPr>
        <w:t>/</w:t>
      </w:r>
      <w:r>
        <w:rPr>
          <w:rFonts w:hint="eastAsia" w:ascii="宋体" w:hAnsi="宋体" w:cs="仿宋_GB2312"/>
          <w:color w:val="000000"/>
          <w:sz w:val="24"/>
          <w:highlight w:val="none"/>
        </w:rPr>
        <w:t>139-2015)</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（11）《</w:t>
      </w:r>
      <w:r>
        <w:rPr>
          <w:rFonts w:hint="eastAsia" w:ascii="宋体" w:hAnsi="宋体" w:cs="仿宋_GB2312"/>
          <w:color w:val="000000"/>
          <w:sz w:val="24"/>
          <w:highlight w:val="none"/>
          <w:lang w:val="en-US" w:eastAsia="zh-CN"/>
        </w:rPr>
        <w:t>重型柴油车污染物排放限值及测量方法</w:t>
      </w:r>
      <w:r>
        <w:rPr>
          <w:rFonts w:hint="eastAsia" w:ascii="宋体" w:hAnsi="宋体" w:cs="仿宋_GB2312"/>
          <w:color w:val="000000"/>
          <w:sz w:val="24"/>
          <w:highlight w:val="none"/>
        </w:rPr>
        <w:t>（中国</w:t>
      </w:r>
      <w:r>
        <w:rPr>
          <w:rFonts w:hint="eastAsia" w:ascii="宋体" w:hAnsi="宋体" w:cs="仿宋_GB2312"/>
          <w:color w:val="000000"/>
          <w:sz w:val="24"/>
          <w:highlight w:val="none"/>
          <w:lang w:val="en-US" w:eastAsia="zh-CN"/>
        </w:rPr>
        <w:t>六</w:t>
      </w:r>
      <w:r>
        <w:rPr>
          <w:rFonts w:hint="eastAsia" w:ascii="宋体" w:hAnsi="宋体" w:cs="仿宋_GB2312"/>
          <w:color w:val="000000"/>
          <w:sz w:val="24"/>
          <w:highlight w:val="none"/>
        </w:rPr>
        <w:t>阶段）》（GB17691-</w:t>
      </w:r>
      <w:r>
        <w:rPr>
          <w:rFonts w:hint="eastAsia" w:ascii="宋体" w:hAnsi="宋体" w:cs="仿宋_GB2312"/>
          <w:color w:val="000000"/>
          <w:sz w:val="24"/>
          <w:highlight w:val="none"/>
          <w:lang w:val="en-US" w:eastAsia="zh-CN"/>
        </w:rPr>
        <w:t>2018</w:t>
      </w:r>
      <w:r>
        <w:rPr>
          <w:rFonts w:hint="eastAsia" w:ascii="宋体" w:hAnsi="宋体" w:cs="仿宋_GB2312"/>
          <w:color w:val="000000"/>
          <w:sz w:val="24"/>
          <w:highlight w:val="none"/>
        </w:rPr>
        <w:t>)</w:t>
      </w:r>
    </w:p>
    <w:p>
      <w:pPr>
        <w:tabs>
          <w:tab w:val="left" w:pos="526"/>
        </w:tabs>
        <w:adjustRightInd w:val="0"/>
        <w:spacing w:line="360" w:lineRule="auto"/>
        <w:ind w:firstLine="560" w:firstLineChars="200"/>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投资金额：</w:t>
      </w:r>
      <w:r>
        <w:rPr>
          <w:rFonts w:hint="eastAsia" w:ascii="仿宋_GB2312" w:hAnsi="仿宋_GB2312" w:eastAsia="仿宋_GB2312" w:cs="仿宋_GB2312"/>
          <w:color w:val="000000"/>
          <w:sz w:val="28"/>
          <w:szCs w:val="28"/>
          <w:highlight w:val="none"/>
          <w:lang w:val="en-US" w:eastAsia="zh-CN"/>
        </w:rPr>
        <w:t>66.97万</w:t>
      </w:r>
      <w:r>
        <w:rPr>
          <w:rFonts w:hint="eastAsia" w:ascii="宋体" w:hAnsi="宋体"/>
          <w:color w:val="000000"/>
          <w:sz w:val="28"/>
          <w:szCs w:val="28"/>
          <w:highlight w:val="none"/>
          <w:lang w:val="en-US" w:eastAsia="zh-CN"/>
        </w:rPr>
        <w:t>元 。</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eastAsia="zh-CN"/>
        </w:rPr>
      </w:pPr>
      <w:bookmarkStart w:id="1" w:name="_GoBack"/>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lang w:eastAsia="zh-CN"/>
        </w:rPr>
        <w:t>）集中咨询</w:t>
      </w:r>
      <w:r>
        <w:rPr>
          <w:rFonts w:hint="eastAsia" w:ascii="宋体" w:hAnsi="宋体"/>
          <w:color w:val="000000"/>
          <w:sz w:val="28"/>
          <w:szCs w:val="28"/>
          <w:highlight w:val="none"/>
        </w:rPr>
        <w:t>、踏勘时间</w:t>
      </w:r>
      <w:r>
        <w:rPr>
          <w:rFonts w:hint="eastAsia" w:ascii="宋体" w:hAnsi="宋体"/>
          <w:color w:val="000000"/>
          <w:sz w:val="28"/>
          <w:szCs w:val="28"/>
          <w:highlight w:val="none"/>
          <w:lang w:eastAsia="zh-CN"/>
        </w:rPr>
        <w:t>与地点：</w:t>
      </w:r>
      <w:r>
        <w:rPr>
          <w:rFonts w:hint="eastAsia" w:ascii="宋体" w:hAnsi="宋体"/>
          <w:color w:val="000000"/>
          <w:sz w:val="28"/>
          <w:szCs w:val="28"/>
          <w:highlight w:val="none"/>
          <w:lang w:val="en-US" w:eastAsia="zh-CN"/>
        </w:rPr>
        <w:t>无</w:t>
      </w:r>
    </w:p>
    <w:bookmarkEnd w:id="1"/>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color w:val="000000"/>
          <w:sz w:val="28"/>
          <w:szCs w:val="28"/>
          <w:highlight w:val="none"/>
          <w:lang w:eastAsia="zh-CN"/>
        </w:rPr>
        <w:t>7</w:t>
      </w:r>
      <w:r>
        <w:rPr>
          <w:rFonts w:hint="eastAsia" w:ascii="宋体" w:hAnsi="宋体"/>
          <w:color w:val="000000"/>
          <w:sz w:val="28"/>
          <w:szCs w:val="28"/>
          <w:highlight w:val="none"/>
          <w:lang w:eastAsia="zh-CN"/>
        </w:rPr>
        <w:t>）比选小组：由发包人自行组成，共</w:t>
      </w:r>
      <w:r>
        <w:rPr>
          <w:rFonts w:hint="eastAsia" w:ascii="宋体" w:hAnsi="宋体"/>
          <w:color w:val="000000"/>
          <w:sz w:val="28"/>
          <w:szCs w:val="28"/>
          <w:highlight w:val="none"/>
          <w:lang w:val="en-US" w:eastAsia="zh-CN"/>
        </w:rPr>
        <w:t>5人。</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bCs/>
          <w:color w:val="000000"/>
          <w:sz w:val="28"/>
          <w:szCs w:val="28"/>
          <w:highlight w:val="none"/>
        </w:rPr>
        <w:t>8</w:t>
      </w:r>
      <w:r>
        <w:rPr>
          <w:rFonts w:hint="eastAsia" w:ascii="宋体" w:hAnsi="宋体"/>
          <w:bCs/>
          <w:color w:val="000000"/>
          <w:sz w:val="28"/>
          <w:szCs w:val="28"/>
          <w:highlight w:val="none"/>
        </w:rPr>
        <w:t>）</w:t>
      </w:r>
      <w:r>
        <w:rPr>
          <w:rFonts w:hint="eastAsia" w:ascii="宋体" w:hAnsi="宋体"/>
          <w:color w:val="000000"/>
          <w:sz w:val="28"/>
          <w:szCs w:val="28"/>
          <w:highlight w:val="none"/>
        </w:rPr>
        <w:t>比选内容：</w:t>
      </w:r>
      <w:r>
        <w:rPr>
          <w:rFonts w:hint="eastAsia" w:ascii="宋体" w:hAnsi="宋体"/>
          <w:color w:val="000000"/>
          <w:sz w:val="28"/>
          <w:szCs w:val="28"/>
          <w:highlight w:val="none"/>
          <w:lang w:eastAsia="zh-CN"/>
        </w:rPr>
        <w:t>总分</w:t>
      </w:r>
      <w:r>
        <w:rPr>
          <w:rFonts w:hint="eastAsia" w:ascii="宋体" w:hAnsi="宋体"/>
          <w:color w:val="000000"/>
          <w:sz w:val="28"/>
          <w:szCs w:val="28"/>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1</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eastAsia="zh-CN"/>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Theme="minorEastAsia"/>
                <w:sz w:val="24"/>
                <w:lang w:val="en-US" w:eastAsia="zh-CN"/>
              </w:rPr>
            </w:pPr>
            <w:r>
              <w:rPr>
                <w:rFonts w:hint="eastAsia" w:ascii="宋体" w:hAnsi="宋体"/>
                <w:sz w:val="24"/>
                <w:lang w:val="en-US" w:eastAsia="zh-CN"/>
              </w:rPr>
              <w:t>25分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default" w:ascii="宋体" w:hAnsi="宋体" w:eastAsiaTheme="minorEastAsia"/>
                <w:sz w:val="24"/>
                <w:lang w:val="en-US" w:eastAsia="zh-CN"/>
              </w:rPr>
            </w:pPr>
            <w:r>
              <w:rPr>
                <w:rFonts w:hint="eastAsia" w:ascii="宋体" w:hAnsi="宋体"/>
                <w:sz w:val="24"/>
                <w:lang w:eastAsia="zh-CN"/>
              </w:rPr>
              <w:t>总计</w:t>
            </w:r>
            <w:r>
              <w:rPr>
                <w:rFonts w:hint="eastAsia" w:ascii="宋体" w:hAnsi="宋体"/>
                <w:sz w:val="24"/>
                <w:lang w:val="en-US" w:eastAsia="zh-CN"/>
              </w:rPr>
              <w:t>25分，</w:t>
            </w:r>
            <w:r>
              <w:rPr>
                <w:rFonts w:hint="eastAsia" w:ascii="宋体" w:hAnsi="宋体"/>
                <w:sz w:val="24"/>
                <w:lang w:eastAsia="zh-CN"/>
              </w:rPr>
              <w:t>比预算每下调</w:t>
            </w:r>
            <w:r>
              <w:rPr>
                <w:rFonts w:hint="eastAsia" w:ascii="宋体" w:hAnsi="宋体"/>
                <w:sz w:val="24"/>
                <w:lang w:val="en-US" w:eastAsia="zh-CN"/>
              </w:rPr>
              <w:t>1%加5分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2</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近三年</w:t>
            </w:r>
          </w:p>
          <w:p>
            <w:pPr>
              <w:snapToGrid w:val="0"/>
              <w:spacing w:line="0" w:lineRule="atLeast"/>
              <w:jc w:val="center"/>
              <w:rPr>
                <w:rFonts w:ascii="宋体" w:hAnsi="宋体"/>
                <w:sz w:val="24"/>
              </w:rPr>
            </w:pPr>
            <w:r>
              <w:rPr>
                <w:rFonts w:hint="eastAsia" w:ascii="宋体" w:hAnsi="宋体"/>
                <w:sz w:val="24"/>
              </w:rPr>
              <w:t>项目业绩</w:t>
            </w:r>
          </w:p>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rPr>
              <w:t>（附合同）</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rPr>
              <w:t>每提供一个</w:t>
            </w:r>
            <w:r>
              <w:rPr>
                <w:rFonts w:hint="eastAsia" w:ascii="宋体" w:hAnsi="宋体"/>
                <w:sz w:val="24"/>
                <w:lang w:eastAsia="zh-CN"/>
              </w:rPr>
              <w:t>项目</w:t>
            </w:r>
            <w:r>
              <w:rPr>
                <w:rFonts w:hint="eastAsia" w:ascii="宋体" w:hAnsi="宋体"/>
                <w:sz w:val="24"/>
              </w:rPr>
              <w:t>合同复印件得</w:t>
            </w:r>
            <w:r>
              <w:rPr>
                <w:rFonts w:hint="eastAsia" w:ascii="宋体" w:hAnsi="宋体"/>
                <w:sz w:val="24"/>
                <w:lang w:val="en-US" w:eastAsia="zh-CN"/>
              </w:rPr>
              <w:t>5</w:t>
            </w:r>
            <w:r>
              <w:rPr>
                <w:rFonts w:hint="eastAsia" w:ascii="宋体" w:hAnsi="宋体"/>
                <w:sz w:val="24"/>
              </w:rPr>
              <w:t>分，最多</w:t>
            </w:r>
            <w:r>
              <w:rPr>
                <w:rFonts w:hint="eastAsia" w:ascii="宋体" w:hAnsi="宋体"/>
                <w:sz w:val="24"/>
                <w:lang w:val="en-US" w:eastAsia="zh-CN"/>
              </w:rPr>
              <w:t>15</w:t>
            </w:r>
            <w:r>
              <w:rPr>
                <w:rFonts w:hint="eastAsia" w:ascii="宋体" w:hAnsi="宋体"/>
                <w:sz w:val="24"/>
              </w:rPr>
              <w:t>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3</w:t>
            </w:r>
          </w:p>
        </w:tc>
        <w:tc>
          <w:tcPr>
            <w:tcW w:w="16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Times New Roman"/>
                <w:kern w:val="2"/>
                <w:sz w:val="24"/>
                <w:szCs w:val="24"/>
                <w:lang w:val="en-US" w:eastAsia="zh-CN" w:bidi="ar-SA"/>
              </w:rPr>
            </w:pPr>
            <w:r>
              <w:rPr>
                <w:rFonts w:ascii="宋体" w:hAnsi="宋体"/>
                <w:sz w:val="24"/>
              </w:rPr>
              <w:t>2</w:t>
            </w:r>
            <w:r>
              <w:rPr>
                <w:rFonts w:hint="eastAsia" w:ascii="宋体" w:hAnsi="宋体"/>
                <w:sz w:val="24"/>
              </w:rPr>
              <w:t>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hint="eastAsia" w:ascii="宋体" w:hAnsi="宋体" w:eastAsia="宋体" w:cs="Times New Roman"/>
                <w:kern w:val="2"/>
                <w:sz w:val="24"/>
                <w:szCs w:val="24"/>
                <w:lang w:val="en-US" w:eastAsia="zh-CN" w:bidi="ar-SA"/>
              </w:rPr>
            </w:pPr>
            <w:r>
              <w:rPr>
                <w:rFonts w:hint="eastAsia" w:ascii="宋体" w:hAnsi="宋体"/>
                <w:sz w:val="24"/>
              </w:rPr>
              <w:t>响应文件编制完善，双面打印，且页码与目录前后对应一致得</w:t>
            </w:r>
            <w:r>
              <w:rPr>
                <w:rFonts w:ascii="宋体" w:hAnsi="宋体"/>
                <w:sz w:val="24"/>
              </w:rPr>
              <w:t>2</w:t>
            </w:r>
            <w:r>
              <w:rPr>
                <w:rFonts w:hint="eastAsia" w:ascii="宋体" w:hAnsi="宋体"/>
                <w:sz w:val="24"/>
              </w:rPr>
              <w:t>分；响应文件编制基本完善得</w:t>
            </w:r>
            <w:r>
              <w:rPr>
                <w:rFonts w:ascii="宋体" w:hAnsi="宋体"/>
                <w:sz w:val="24"/>
              </w:rPr>
              <w:t>1</w:t>
            </w:r>
            <w:r>
              <w:rPr>
                <w:rFonts w:hint="eastAsia" w:ascii="宋体" w:hAnsi="宋体"/>
                <w:sz w:val="24"/>
              </w:rPr>
              <w:t>分；磋商响应文件编制差，得0分。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sz w:val="24"/>
              </w:rPr>
            </w:pPr>
            <w:r>
              <w:rPr>
                <w:rFonts w:hint="eastAsia" w:ascii="宋体" w:hAnsi="宋体"/>
                <w:sz w:val="24"/>
              </w:rPr>
              <w:t>0-</w:t>
            </w:r>
            <w:r>
              <w:rPr>
                <w:rFonts w:hint="eastAsia" w:ascii="宋体" w:hAnsi="宋体"/>
                <w:sz w:val="24"/>
                <w:lang w:val="en-US" w:eastAsia="zh-CN"/>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val="en-US" w:eastAsia="zh-CN"/>
              </w:rPr>
            </w:pPr>
            <w:r>
              <w:rPr>
                <w:rFonts w:hint="eastAsia" w:ascii="宋体" w:hAnsi="宋体"/>
                <w:sz w:val="24"/>
                <w:lang w:val="en-US" w:eastAsia="zh-CN"/>
              </w:rPr>
              <w:t>4</w:t>
            </w:r>
          </w:p>
        </w:tc>
        <w:tc>
          <w:tcPr>
            <w:tcW w:w="1683" w:type="dxa"/>
            <w:tcBorders>
              <w:left w:val="single" w:color="auto" w:sz="4" w:space="0"/>
              <w:bottom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项目组织机构</w:t>
            </w:r>
          </w:p>
        </w:tc>
        <w:tc>
          <w:tcPr>
            <w:tcW w:w="1028" w:type="dxa"/>
            <w:tcBorders>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sz w:val="24"/>
                <w:lang w:val="en-US" w:eastAsia="zh-CN"/>
              </w:rPr>
            </w:pPr>
            <w:r>
              <w:rPr>
                <w:rFonts w:hint="eastAsia" w:ascii="宋体" w:hAnsi="宋体"/>
                <w:sz w:val="24"/>
                <w:lang w:val="en-US" w:eastAsia="zh-CN"/>
              </w:rPr>
              <w:t>3分</w:t>
            </w:r>
          </w:p>
        </w:tc>
        <w:tc>
          <w:tcPr>
            <w:tcW w:w="4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hint="eastAsia" w:ascii="宋体" w:hAnsi="宋体" w:eastAsia="宋体" w:cs="Times New Roman"/>
                <w:kern w:val="2"/>
                <w:sz w:val="24"/>
                <w:szCs w:val="24"/>
                <w:lang w:val="en-US" w:eastAsia="zh-CN" w:bidi="ar-SA"/>
              </w:rPr>
            </w:pPr>
            <w:r>
              <w:rPr>
                <w:rFonts w:hint="eastAsia" w:ascii="宋体" w:hAnsi="宋体"/>
                <w:sz w:val="24"/>
                <w:lang w:eastAsia="zh-CN"/>
              </w:rPr>
              <w:t>项目经理、技术负责人及</w:t>
            </w:r>
            <w:r>
              <w:rPr>
                <w:rFonts w:hint="eastAsia" w:ascii="宋体" w:hAnsi="宋体"/>
                <w:sz w:val="24"/>
              </w:rPr>
              <w:t>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宋体"/>
                <w:sz w:val="24"/>
                <w:lang w:val="en-US" w:eastAsia="zh-CN"/>
              </w:rPr>
            </w:pPr>
            <w:r>
              <w:rPr>
                <w:rFonts w:hint="eastAsia" w:ascii="宋体" w:hAnsi="宋体"/>
                <w:sz w:val="24"/>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5</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eastAsia="zh-CN"/>
              </w:rPr>
              <w:t>咨询</w:t>
            </w:r>
            <w:r>
              <w:rPr>
                <w:rFonts w:hint="eastAsia" w:ascii="宋体" w:hAnsi="宋体"/>
                <w:sz w:val="24"/>
              </w:rPr>
              <w:t>方案</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20</w:t>
            </w:r>
            <w:r>
              <w:rPr>
                <w:rFonts w:hint="eastAsia" w:ascii="宋体" w:hAnsi="宋体"/>
                <w:sz w:val="24"/>
              </w:rPr>
              <w:t>分</w:t>
            </w:r>
          </w:p>
        </w:tc>
        <w:tc>
          <w:tcPr>
            <w:tcW w:w="4513" w:type="dxa"/>
            <w:vMerge w:val="restart"/>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具有丰富施工经验，组织严密、周全、针对性强、重点和难点的相关内容突出、先进、可行。</w:t>
            </w:r>
          </w:p>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0-20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683"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1028"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4513" w:type="dxa"/>
            <w:vMerge w:val="continue"/>
            <w:tcBorders>
              <w:left w:val="single" w:color="auto" w:sz="4" w:space="0"/>
              <w:bottom w:val="single" w:color="auto" w:sz="4" w:space="0"/>
              <w:right w:val="single" w:color="auto" w:sz="4" w:space="0"/>
            </w:tcBorders>
            <w:vAlign w:val="center"/>
          </w:tcPr>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6</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质量保证体系及措施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7</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eastAsia="zh-CN"/>
              </w:rPr>
              <w:t>咨询成果承诺</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8</w:t>
            </w:r>
          </w:p>
        </w:tc>
        <w:tc>
          <w:tcPr>
            <w:tcW w:w="1683" w:type="dxa"/>
            <w:vMerge w:val="restart"/>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进度计划及保证措施</w:t>
            </w:r>
          </w:p>
        </w:tc>
        <w:tc>
          <w:tcPr>
            <w:tcW w:w="1028" w:type="dxa"/>
            <w:vMerge w:val="restart"/>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hint="eastAsia" w:ascii="宋体" w:hAnsi="宋体"/>
                <w:sz w:val="24"/>
              </w:rPr>
            </w:pPr>
            <w:r>
              <w:rPr>
                <w:rFonts w:hint="eastAsia" w:ascii="宋体" w:hAnsi="宋体"/>
                <w:sz w:val="24"/>
              </w:rPr>
              <w:t>科学、完整、合理，措施有力</w:t>
            </w:r>
          </w:p>
          <w:p>
            <w:pPr>
              <w:snapToGrid w:val="0"/>
              <w:spacing w:line="0" w:lineRule="atLeast"/>
              <w:rPr>
                <w:rFonts w:ascii="宋体" w:hAnsi="宋体"/>
                <w:sz w:val="24"/>
              </w:rPr>
            </w:pP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09" w:type="dxa"/>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Theme="minorEastAsia"/>
                <w:sz w:val="24"/>
                <w:lang w:eastAsia="zh-CN"/>
              </w:rPr>
            </w:pPr>
            <w:r>
              <w:rPr>
                <w:rFonts w:hint="eastAsia" w:ascii="宋体" w:hAnsi="宋体"/>
                <w:sz w:val="24"/>
                <w:lang w:val="en-US" w:eastAsia="zh-CN"/>
              </w:rPr>
              <w:t>9</w:t>
            </w:r>
          </w:p>
        </w:tc>
        <w:tc>
          <w:tcPr>
            <w:tcW w:w="1683"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rPr>
              <w:t>质保服务措施</w:t>
            </w:r>
          </w:p>
        </w:tc>
        <w:tc>
          <w:tcPr>
            <w:tcW w:w="1028" w:type="dxa"/>
            <w:tcBorders>
              <w:top w:val="single" w:color="auto" w:sz="4" w:space="0"/>
              <w:left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10</w:t>
            </w:r>
            <w:r>
              <w:rPr>
                <w:rFonts w:hint="eastAsia" w:ascii="宋体" w:hAnsi="宋体"/>
                <w:sz w:val="24"/>
              </w:rPr>
              <w:t>分</w:t>
            </w:r>
          </w:p>
        </w:tc>
        <w:tc>
          <w:tcPr>
            <w:tcW w:w="4513" w:type="dxa"/>
            <w:tcBorders>
              <w:top w:val="single" w:color="auto" w:sz="4" w:space="0"/>
              <w:left w:val="single" w:color="auto" w:sz="4" w:space="0"/>
              <w:right w:val="single" w:color="auto" w:sz="4" w:space="0"/>
            </w:tcBorders>
            <w:vAlign w:val="center"/>
          </w:tcPr>
          <w:p>
            <w:pPr>
              <w:snapToGrid w:val="0"/>
              <w:spacing w:line="0" w:lineRule="atLeast"/>
              <w:rPr>
                <w:rFonts w:ascii="宋体" w:hAnsi="宋体"/>
                <w:sz w:val="24"/>
              </w:rPr>
            </w:pPr>
            <w:r>
              <w:rPr>
                <w:rFonts w:hint="eastAsia" w:ascii="宋体" w:hAnsi="宋体"/>
                <w:sz w:val="24"/>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sz w:val="24"/>
              </w:rPr>
            </w:pPr>
            <w:r>
              <w:rPr>
                <w:rFonts w:hint="eastAsia" w:ascii="宋体" w:hAnsi="宋体"/>
                <w:sz w:val="24"/>
                <w:lang w:val="en-US" w:eastAsia="zh-CN"/>
              </w:rPr>
              <w:t>0-10</w:t>
            </w:r>
            <w:r>
              <w:rPr>
                <w:rFonts w:hint="eastAsia" w:ascii="宋体" w:hAnsi="宋体"/>
                <w:sz w:val="24"/>
              </w:rPr>
              <w:t>分</w:t>
            </w:r>
          </w:p>
        </w:tc>
      </w:tr>
    </w:tbl>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p>
    <w:p>
      <w:pPr>
        <w:tabs>
          <w:tab w:val="left" w:pos="526"/>
        </w:tabs>
        <w:adjustRightInd w:val="0"/>
        <w:spacing w:line="360" w:lineRule="auto"/>
        <w:ind w:firstLine="560" w:firstLineChars="200"/>
        <w:jc w:val="left"/>
        <w:rPr>
          <w:rFonts w:hint="eastAsia" w:ascii="宋体" w:hAnsi="宋体"/>
          <w:bCs/>
          <w:color w:val="000000"/>
          <w:sz w:val="28"/>
          <w:szCs w:val="28"/>
          <w:highlight w:val="none"/>
          <w:u w:val="none"/>
          <w:lang w:eastAsia="zh-CN"/>
        </w:rPr>
      </w:pPr>
      <w:r>
        <w:rPr>
          <w:rFonts w:hint="default" w:ascii="宋体" w:hAnsi="宋体"/>
          <w:bCs/>
          <w:color w:val="000000"/>
          <w:sz w:val="28"/>
          <w:szCs w:val="28"/>
          <w:highlight w:val="none"/>
          <w:u w:val="none"/>
          <w:lang w:eastAsia="zh-CN"/>
        </w:rPr>
        <w:t>9</w:t>
      </w:r>
      <w:r>
        <w:rPr>
          <w:rFonts w:hint="eastAsia" w:ascii="宋体" w:hAnsi="宋体"/>
          <w:bCs/>
          <w:color w:val="000000"/>
          <w:sz w:val="28"/>
          <w:szCs w:val="28"/>
          <w:highlight w:val="none"/>
          <w:u w:val="none"/>
          <w:lang w:val="en-US" w:eastAsia="zh-CN"/>
        </w:rPr>
        <w:t>）、</w:t>
      </w:r>
      <w:r>
        <w:rPr>
          <w:rFonts w:hint="eastAsia" w:ascii="宋体" w:hAnsi="宋体"/>
          <w:bCs/>
          <w:color w:val="000000"/>
          <w:sz w:val="28"/>
          <w:szCs w:val="28"/>
          <w:highlight w:val="none"/>
          <w:u w:val="none"/>
          <w:lang w:eastAsia="zh-CN"/>
        </w:rPr>
        <w:t>比选文件要求：</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a.</w:t>
      </w:r>
      <w:r>
        <w:rPr>
          <w:rFonts w:hint="eastAsia" w:ascii="宋体" w:hAnsi="宋体"/>
          <w:bCs/>
          <w:color w:val="000000"/>
          <w:sz w:val="28"/>
          <w:szCs w:val="28"/>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8"/>
          <w:szCs w:val="28"/>
          <w:highlight w:val="none"/>
          <w:u w:val="single"/>
          <w:lang w:val="en-US" w:eastAsia="zh-CN"/>
        </w:rPr>
        <w:t>2</w:t>
      </w:r>
      <w:r>
        <w:rPr>
          <w:rFonts w:hint="eastAsia" w:ascii="宋体" w:hAnsi="宋体"/>
          <w:bCs/>
          <w:color w:val="000000"/>
          <w:sz w:val="28"/>
          <w:szCs w:val="28"/>
          <w:highlight w:val="none"/>
          <w:u w:val="single"/>
          <w:lang w:eastAsia="zh-CN"/>
        </w:rPr>
        <w:t>份。</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b.比选</w:t>
      </w:r>
      <w:r>
        <w:rPr>
          <w:rFonts w:hint="eastAsia" w:ascii="宋体" w:hAnsi="宋体"/>
          <w:bCs/>
          <w:color w:val="000000"/>
          <w:sz w:val="28"/>
          <w:szCs w:val="28"/>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c.</w:t>
      </w:r>
      <w:r>
        <w:rPr>
          <w:rFonts w:hint="eastAsia" w:ascii="宋体" w:hAnsi="宋体"/>
          <w:bCs/>
          <w:color w:val="000000"/>
          <w:sz w:val="28"/>
          <w:szCs w:val="28"/>
          <w:highlight w:val="none"/>
          <w:u w:val="single"/>
          <w:lang w:eastAsia="zh-CN"/>
        </w:rPr>
        <w:t>任何行间插字、涂改和增删，必须由比选文件签字人签字或盖章后才有效。</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d.</w:t>
      </w:r>
      <w:r>
        <w:rPr>
          <w:rFonts w:hint="eastAsia" w:ascii="宋体" w:hAnsi="宋体"/>
          <w:bCs/>
          <w:color w:val="000000"/>
          <w:sz w:val="28"/>
          <w:szCs w:val="28"/>
          <w:highlight w:val="none"/>
          <w:u w:val="single"/>
          <w:lang w:eastAsia="zh-CN"/>
        </w:rPr>
        <w:t>比选文件因字迹潦草或表达不清所引起的后果由参比单位负责。</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default" w:ascii="宋体" w:hAnsi="宋体"/>
          <w:bCs/>
          <w:color w:val="000000"/>
          <w:sz w:val="28"/>
          <w:szCs w:val="28"/>
          <w:highlight w:val="none"/>
          <w:u w:val="single"/>
          <w:lang w:eastAsia="zh-CN"/>
        </w:rPr>
        <w:t>10</w:t>
      </w:r>
      <w:r>
        <w:rPr>
          <w:rFonts w:hint="eastAsia" w:ascii="宋体" w:hAnsi="宋体"/>
          <w:bCs/>
          <w:color w:val="000000"/>
          <w:sz w:val="28"/>
          <w:szCs w:val="28"/>
          <w:highlight w:val="none"/>
          <w:u w:val="single"/>
          <w:lang w:val="en-US" w:eastAsia="zh-CN"/>
        </w:rPr>
        <w:t>)、</w:t>
      </w:r>
      <w:r>
        <w:rPr>
          <w:rFonts w:hint="eastAsia" w:ascii="宋体" w:hAnsi="宋体"/>
          <w:bCs/>
          <w:color w:val="000000"/>
          <w:sz w:val="28"/>
          <w:szCs w:val="28"/>
          <w:highlight w:val="none"/>
          <w:u w:val="single"/>
          <w:lang w:eastAsia="zh-CN"/>
        </w:rPr>
        <w:t>密封要求：参比单位应将比选文件密封装在单独的信封中，封面加盖单位公章。</w:t>
      </w:r>
    </w:p>
    <w:p>
      <w:pPr>
        <w:pStyle w:val="3"/>
        <w:adjustRightInd/>
        <w:spacing w:before="0" w:after="0" w:line="360" w:lineRule="auto"/>
        <w:jc w:val="both"/>
        <w:rPr>
          <w:rFonts w:hint="eastAsia"/>
        </w:rPr>
      </w:pPr>
      <w:bookmarkStart w:id="0" w:name="_Toc295804865"/>
    </w:p>
    <w:p>
      <w:pPr>
        <w:pStyle w:val="4"/>
        <w:ind w:left="0" w:leftChars="0" w:firstLine="0" w:firstLineChars="0"/>
        <w:rPr>
          <w:rFonts w:hint="eastAsia"/>
        </w:rPr>
      </w:pPr>
    </w:p>
    <w:p>
      <w:pPr>
        <w:rPr>
          <w:rFonts w:hint="eastAsia"/>
        </w:rPr>
      </w:pPr>
      <w:r>
        <w:rPr>
          <w:rFonts w:hint="eastAsia"/>
        </w:rPr>
        <w:br w:type="page"/>
      </w:r>
    </w:p>
    <w:p>
      <w:pPr>
        <w:pStyle w:val="4"/>
        <w:rPr>
          <w:rFonts w:hint="eastAsia"/>
        </w:rPr>
      </w:pPr>
    </w:p>
    <w:p>
      <w:pPr>
        <w:pStyle w:val="3"/>
        <w:adjustRightInd/>
        <w:spacing w:before="0" w:after="0" w:line="360" w:lineRule="auto"/>
        <w:jc w:val="both"/>
      </w:pPr>
      <w:r>
        <w:rPr>
          <w:rFonts w:hint="eastAsia"/>
        </w:rPr>
        <w:t>附件</w:t>
      </w:r>
      <w:r>
        <w:rPr>
          <w:rFonts w:hint="eastAsia"/>
          <w:lang w:val="en-US" w:eastAsia="zh-CN"/>
        </w:rPr>
        <w:t xml:space="preserve"> </w:t>
      </w:r>
      <w:r>
        <w:rPr>
          <w:rFonts w:hint="eastAsia"/>
        </w:rPr>
        <w:t>法定代表人授权书</w:t>
      </w:r>
      <w:r>
        <w:t>(</w:t>
      </w:r>
      <w:r>
        <w:rPr>
          <w:rFonts w:hint="eastAsia"/>
        </w:rPr>
        <w:t>格式</w:t>
      </w:r>
      <w:r>
        <w:t>)</w:t>
      </w:r>
      <w:bookmarkEnd w:id="0"/>
    </w:p>
    <w:p>
      <w:pPr>
        <w:spacing w:line="360" w:lineRule="auto"/>
        <w:ind w:firstLine="480" w:firstLineChars="200"/>
        <w:rPr>
          <w:rFonts w:hint="eastAsia" w:ascii="宋体" w:hAnsi="宋体"/>
          <w:sz w:val="24"/>
          <w:u w:val="single"/>
        </w:rPr>
      </w:pPr>
      <w:r>
        <w:rPr>
          <w:rFonts w:hint="eastAsia" w:hAnsi="宋体"/>
          <w:sz w:val="24"/>
          <w:u w:val="single"/>
        </w:rPr>
        <w:br w:type="textWrapping"/>
      </w:r>
      <w:r>
        <w:rPr>
          <w:rFonts w:hAnsi="宋体"/>
          <w:sz w:val="24"/>
        </w:rPr>
        <w:br w:type="textWrapping"/>
      </w:r>
      <w:r>
        <w:rPr>
          <w:rFonts w:hint="eastAsia"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（姓名）为我公司代理人，以本公司的名义参加</w:t>
      </w:r>
      <w:r>
        <w:rPr>
          <w:rFonts w:hint="eastAsia" w:ascii="宋体" w:hAnsi="宋体"/>
          <w:sz w:val="24"/>
          <w:u w:val="single"/>
        </w:rPr>
        <w:t xml:space="preserve">                </w:t>
      </w:r>
      <w:r>
        <w:rPr>
          <w:rFonts w:hint="eastAsia" w:ascii="宋体" w:hAnsi="宋体"/>
          <w:sz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rPr>
      </w:pPr>
      <w:r>
        <w:rPr>
          <w:rFonts w:hint="eastAsia" w:hAnsi="宋体"/>
          <w:sz w:val="24"/>
        </w:rPr>
        <w:t>　　</w:t>
      </w:r>
    </w:p>
    <w:p>
      <w:pPr>
        <w:pStyle w:val="5"/>
        <w:tabs>
          <w:tab w:val="left" w:pos="5580"/>
        </w:tabs>
        <w:spacing w:line="360" w:lineRule="auto"/>
        <w:ind w:firstLine="480"/>
        <w:rPr>
          <w:rFonts w:hint="eastAsia" w:hAnsi="宋体"/>
          <w:sz w:val="24"/>
        </w:rPr>
      </w:pPr>
      <w:r>
        <w:rPr>
          <w:rFonts w:hint="eastAsia" w:hAnsi="宋体"/>
          <w:sz w:val="24"/>
        </w:rPr>
        <w:t>本授权书于__________年_____月______日签字生效,特此声明。</w:t>
      </w:r>
      <w:r>
        <w:rPr>
          <w:rFonts w:hint="eastAsia" w:hAnsi="宋体"/>
          <w:sz w:val="24"/>
        </w:rPr>
        <w:br w:type="textWrapping"/>
      </w:r>
      <w:r>
        <w:rPr>
          <w:rFonts w:hint="eastAsia" w:hAnsi="宋体"/>
          <w:sz w:val="24"/>
        </w:rPr>
        <w:br w:type="textWrapping"/>
      </w:r>
      <w:r>
        <w:rPr>
          <w:rFonts w:hint="eastAsia" w:hAnsi="宋体"/>
          <w:sz w:val="24"/>
        </w:rPr>
        <w:br w:type="textWrapping"/>
      </w:r>
      <w:r>
        <w:rPr>
          <w:rFonts w:hint="eastAsia" w:hAnsi="宋体"/>
          <w:sz w:val="24"/>
        </w:rPr>
        <w:t>法定代表人签字_______________________________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被授权人签字_______________________________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 xml:space="preserve">公司盖章：                                 </w:t>
      </w: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r>
        <w:rPr>
          <w:rFonts w:hint="eastAsia" w:hAnsi="宋体"/>
          <w:sz w:val="24"/>
        </w:rPr>
        <w:t>附：</w:t>
      </w:r>
    </w:p>
    <w:p>
      <w:pPr>
        <w:pStyle w:val="5"/>
        <w:tabs>
          <w:tab w:val="left" w:pos="5580"/>
        </w:tabs>
        <w:spacing w:line="360" w:lineRule="auto"/>
        <w:rPr>
          <w:rFonts w:hint="eastAsia" w:hAnsi="宋体"/>
          <w:sz w:val="24"/>
        </w:rPr>
      </w:pPr>
      <w:r>
        <w:rPr>
          <w:rFonts w:hint="eastAsia" w:hAnsi="宋体"/>
          <w:sz w:val="24"/>
        </w:rPr>
        <w:t>被授权人姓名：</w:t>
      </w:r>
    </w:p>
    <w:p>
      <w:pPr>
        <w:pStyle w:val="5"/>
        <w:tabs>
          <w:tab w:val="left" w:pos="5580"/>
        </w:tabs>
        <w:spacing w:line="360" w:lineRule="auto"/>
        <w:rPr>
          <w:rFonts w:hint="eastAsia" w:hAnsi="宋体"/>
          <w:sz w:val="24"/>
        </w:rPr>
      </w:pPr>
      <w:r>
        <w:rPr>
          <w:rFonts w:hint="eastAsia" w:hAnsi="宋体"/>
          <w:sz w:val="24"/>
        </w:rPr>
        <w:t>职　　　　务：</w:t>
      </w:r>
    </w:p>
    <w:p>
      <w:pPr>
        <w:pStyle w:val="5"/>
        <w:tabs>
          <w:tab w:val="left" w:pos="5580"/>
        </w:tabs>
        <w:spacing w:line="360" w:lineRule="auto"/>
        <w:rPr>
          <w:rFonts w:hint="eastAsia" w:hAnsi="宋体"/>
          <w:sz w:val="24"/>
        </w:rPr>
      </w:pPr>
      <w:r>
        <w:rPr>
          <w:rFonts w:hint="eastAsia" w:hAnsi="宋体"/>
          <w:sz w:val="24"/>
        </w:rPr>
        <w:t>详细通讯地址：</w:t>
      </w:r>
    </w:p>
    <w:p>
      <w:pPr>
        <w:pStyle w:val="5"/>
        <w:tabs>
          <w:tab w:val="left" w:pos="5580"/>
        </w:tabs>
        <w:spacing w:line="360" w:lineRule="auto"/>
        <w:rPr>
          <w:rFonts w:hint="eastAsia" w:hAnsi="宋体"/>
          <w:sz w:val="24"/>
        </w:rPr>
      </w:pPr>
      <w:r>
        <w:rPr>
          <w:rFonts w:hint="eastAsia" w:hAnsi="宋体"/>
          <w:sz w:val="24"/>
        </w:rPr>
        <w:t>邮 政  编 码：</w:t>
      </w:r>
    </w:p>
    <w:p>
      <w:pPr>
        <w:pStyle w:val="5"/>
        <w:tabs>
          <w:tab w:val="left" w:pos="5580"/>
        </w:tabs>
        <w:spacing w:line="360" w:lineRule="auto"/>
        <w:rPr>
          <w:rFonts w:hint="eastAsia" w:hAnsi="宋体"/>
          <w:sz w:val="24"/>
        </w:rPr>
      </w:pPr>
      <w:r>
        <w:rPr>
          <w:rFonts w:hint="eastAsia" w:hAnsi="宋体"/>
          <w:sz w:val="24"/>
        </w:rPr>
        <w:t>传　　　　真：</w:t>
      </w:r>
    </w:p>
    <w:p>
      <w:pPr>
        <w:pStyle w:val="5"/>
        <w:tabs>
          <w:tab w:val="left" w:pos="5580"/>
        </w:tabs>
        <w:spacing w:line="360" w:lineRule="auto"/>
      </w:pPr>
      <w:r>
        <w:rPr>
          <w:rFonts w:hint="eastAsia" w:hAnsi="宋体"/>
          <w:sz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A5436CB"/>
    <w:rsid w:val="1A630801"/>
    <w:rsid w:val="29FF4E4F"/>
    <w:rsid w:val="2BBE395B"/>
    <w:rsid w:val="2D5C0DB9"/>
    <w:rsid w:val="31D8000A"/>
    <w:rsid w:val="36393AA3"/>
    <w:rsid w:val="3C237AE4"/>
    <w:rsid w:val="3EE5844C"/>
    <w:rsid w:val="3F250497"/>
    <w:rsid w:val="40F1776E"/>
    <w:rsid w:val="41C34E7D"/>
    <w:rsid w:val="42D30D89"/>
    <w:rsid w:val="44DD45B0"/>
    <w:rsid w:val="54773FBA"/>
    <w:rsid w:val="56DA6192"/>
    <w:rsid w:val="59BC2B99"/>
    <w:rsid w:val="5D566FFB"/>
    <w:rsid w:val="635A382F"/>
    <w:rsid w:val="6437061D"/>
    <w:rsid w:val="684C20E2"/>
    <w:rsid w:val="6AE462CA"/>
    <w:rsid w:val="6B8979C5"/>
    <w:rsid w:val="6D0A1891"/>
    <w:rsid w:val="6D5B5FC5"/>
    <w:rsid w:val="77141EAD"/>
    <w:rsid w:val="776C5902"/>
    <w:rsid w:val="77EE5402"/>
    <w:rsid w:val="7D854F3E"/>
    <w:rsid w:val="7F4FCA57"/>
    <w:rsid w:val="97FD8043"/>
    <w:rsid w:val="BF3EE515"/>
    <w:rsid w:val="BF8E5628"/>
    <w:rsid w:val="EFFD578E"/>
    <w:rsid w:val="F3CFCBB9"/>
    <w:rsid w:val="F7BFC14A"/>
    <w:rsid w:val="FBFCEEBC"/>
    <w:rsid w:val="FF5FE6EB"/>
    <w:rsid w:val="FFFFF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22</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2017-12-28T05:05:00Z</dcterms:created>
  <dc:creator>pc</dc:creator>
  <cp:lastModifiedBy>user</cp:lastModifiedBy>
  <cp:lastPrinted>2024-06-13T00:27:00Z</cp:lastPrinted>
  <dcterms:modified xsi:type="dcterms:W3CDTF">2025-06-26T15:04:01Z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