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lang w:val="en-US" w:eastAsia="zh-CN"/>
        </w:rPr>
      </w:pPr>
      <w:r>
        <w:rPr>
          <w:rFonts w:hint="eastAsia" w:ascii="宋体" w:hAnsi="宋体"/>
          <w:b/>
          <w:sz w:val="52"/>
          <w:szCs w:val="52"/>
        </w:rPr>
        <w:t xml:space="preserve"> </w:t>
      </w:r>
      <w:r>
        <w:rPr>
          <w:rFonts w:hint="eastAsia" w:ascii="宋体" w:hAnsi="宋体"/>
          <w:b/>
          <w:sz w:val="52"/>
          <w:szCs w:val="52"/>
          <w:lang w:eastAsia="zh-CN"/>
        </w:rPr>
        <w:t>固体废弃物管理服务-</w:t>
      </w:r>
      <w:r>
        <w:rPr>
          <w:rFonts w:hint="eastAsia" w:ascii="宋体" w:hAnsi="宋体"/>
          <w:b/>
          <w:sz w:val="52"/>
          <w:szCs w:val="52"/>
          <w:lang w:val="en-US" w:eastAsia="zh-CN"/>
        </w:rPr>
        <w:t>2025年</w:t>
      </w:r>
    </w:p>
    <w:p>
      <w:pPr>
        <w:jc w:val="center"/>
        <w:rPr>
          <w:rFonts w:ascii="宋体" w:hAnsi="宋体"/>
          <w:b/>
          <w:sz w:val="52"/>
          <w:szCs w:val="52"/>
        </w:rPr>
      </w:pPr>
      <w:r>
        <w:rPr>
          <w:rFonts w:hint="eastAsia" w:ascii="宋体" w:hAnsi="宋体"/>
          <w:b/>
          <w:sz w:val="52"/>
          <w:szCs w:val="52"/>
        </w:rPr>
        <w:t>北京市可回收物运行情况调查服务</w:t>
      </w:r>
    </w:p>
    <w:p>
      <w:pPr>
        <w:jc w:val="center"/>
        <w:rPr>
          <w:rFonts w:hint="eastAsia" w:ascii="宋体" w:hAnsi="宋体"/>
          <w:b/>
          <w:sz w:val="52"/>
          <w:szCs w:val="52"/>
        </w:rPr>
      </w:pPr>
    </w:p>
    <w:p>
      <w:pPr>
        <w:ind w:firstLine="2875" w:firstLineChars="341"/>
        <w:rPr>
          <w:rFonts w:hint="eastAsia" w:ascii="宋体" w:hAnsi="宋体"/>
          <w:b/>
          <w:sz w:val="84"/>
          <w:szCs w:val="84"/>
        </w:rPr>
      </w:pPr>
    </w:p>
    <w:p>
      <w:pPr>
        <w:ind w:firstLine="2875" w:firstLineChars="341"/>
        <w:rPr>
          <w:rFonts w:hint="eastAsia" w:ascii="宋体" w:hAnsi="宋体"/>
          <w:b/>
          <w:sz w:val="84"/>
          <w:szCs w:val="84"/>
        </w:rPr>
      </w:pPr>
    </w:p>
    <w:p>
      <w:pPr>
        <w:jc w:val="center"/>
        <w:rPr>
          <w:rFonts w:hint="eastAsia" w:ascii="宋体" w:hAnsi="宋体"/>
          <w:b/>
          <w:sz w:val="84"/>
          <w:szCs w:val="84"/>
        </w:rPr>
      </w:pPr>
      <w:r>
        <w:rPr>
          <w:rFonts w:hint="eastAsia" w:ascii="宋体" w:hAnsi="宋体"/>
          <w:b/>
          <w:sz w:val="84"/>
          <w:szCs w:val="84"/>
        </w:rPr>
        <w:t>比 选 文 件</w:t>
      </w:r>
    </w:p>
    <w:p>
      <w:pPr>
        <w:ind w:firstLine="4818" w:firstLineChars="1000"/>
        <w:rPr>
          <w:rFonts w:hint="eastAsia" w:ascii="宋体" w:hAnsi="宋体"/>
          <w:b/>
          <w:sz w:val="48"/>
          <w:szCs w:val="48"/>
        </w:rPr>
      </w:pPr>
    </w:p>
    <w:p>
      <w:pPr>
        <w:jc w:val="center"/>
        <w:rPr>
          <w:rFonts w:hint="eastAsia" w:ascii="宋体" w:hAnsi="宋体"/>
          <w:b/>
          <w:sz w:val="36"/>
          <w:szCs w:val="36"/>
          <w:u w:val="single"/>
        </w:rPr>
      </w:pPr>
      <w:r>
        <w:rPr>
          <w:rFonts w:hint="eastAsia" w:ascii="宋体" w:hAnsi="宋体"/>
          <w:b/>
          <w:sz w:val="36"/>
          <w:szCs w:val="36"/>
          <w:lang w:val="en-US" w:eastAsia="zh-CN"/>
        </w:rPr>
        <w:t>采购</w:t>
      </w:r>
      <w:r>
        <w:rPr>
          <w:rFonts w:hint="eastAsia" w:ascii="宋体" w:hAnsi="宋体"/>
          <w:b/>
          <w:sz w:val="36"/>
          <w:szCs w:val="36"/>
        </w:rPr>
        <w:t>编号：</w:t>
      </w:r>
    </w:p>
    <w:p>
      <w:pPr>
        <w:jc w:val="center"/>
        <w:rPr>
          <w:rFonts w:hint="eastAsia" w:ascii="宋体" w:hAnsi="宋体"/>
          <w:b/>
          <w:sz w:val="52"/>
        </w:rPr>
      </w:pPr>
    </w:p>
    <w:p>
      <w:pPr>
        <w:spacing w:line="360" w:lineRule="auto"/>
        <w:rPr>
          <w:rFonts w:hint="eastAsia" w:ascii="宋体" w:hAnsi="宋体"/>
          <w:b/>
          <w:sz w:val="52"/>
          <w:szCs w:val="52"/>
        </w:rPr>
      </w:pPr>
    </w:p>
    <w:p>
      <w:pPr>
        <w:jc w:val="center"/>
        <w:rPr>
          <w:rFonts w:hint="eastAsia" w:ascii="宋体" w:hAnsi="宋体"/>
          <w:b/>
          <w:sz w:val="36"/>
          <w:szCs w:val="36"/>
        </w:rPr>
      </w:pPr>
      <w:r>
        <w:rPr>
          <w:rFonts w:hint="eastAsia" w:ascii="宋体" w:hAnsi="宋体"/>
          <w:b/>
          <w:sz w:val="36"/>
          <w:szCs w:val="36"/>
        </w:rPr>
        <w:t>采购单位：北京市城市管理委员会</w:t>
      </w:r>
    </w:p>
    <w:p>
      <w:pPr>
        <w:jc w:val="center"/>
        <w:rPr>
          <w:rFonts w:ascii="宋体" w:hAnsi="宋体"/>
          <w:b/>
          <w:sz w:val="36"/>
          <w:szCs w:val="36"/>
        </w:rPr>
      </w:pPr>
      <w:r>
        <w:rPr>
          <w:rFonts w:hint="eastAsia" w:ascii="宋体" w:hAnsi="宋体"/>
          <w:b/>
          <w:sz w:val="36"/>
          <w:szCs w:val="36"/>
        </w:rPr>
        <w:t>二○二</w:t>
      </w:r>
      <w:r>
        <w:rPr>
          <w:rFonts w:hint="eastAsia" w:ascii="宋体" w:hAnsi="宋体"/>
          <w:b/>
          <w:sz w:val="36"/>
          <w:szCs w:val="36"/>
          <w:lang w:eastAsia="zh-CN"/>
        </w:rPr>
        <w:t>五</w:t>
      </w:r>
      <w:r>
        <w:rPr>
          <w:rFonts w:hint="eastAsia" w:ascii="宋体" w:hAnsi="宋体"/>
          <w:b/>
          <w:sz w:val="36"/>
          <w:szCs w:val="36"/>
        </w:rPr>
        <w:t>年</w:t>
      </w:r>
      <w:r>
        <w:rPr>
          <w:rFonts w:hint="eastAsia" w:ascii="宋体" w:hAnsi="宋体"/>
          <w:b/>
          <w:sz w:val="36"/>
          <w:szCs w:val="36"/>
          <w:lang w:eastAsia="zh-CN"/>
        </w:rPr>
        <w:t>六</w:t>
      </w:r>
      <w:r>
        <w:rPr>
          <w:rFonts w:hint="eastAsia" w:ascii="宋体" w:hAnsi="宋体"/>
          <w:b/>
          <w:sz w:val="36"/>
          <w:szCs w:val="36"/>
        </w:rPr>
        <w:t>月</w:t>
      </w:r>
    </w:p>
    <w:p>
      <w:pPr>
        <w:jc w:val="center"/>
        <w:rPr>
          <w:rFonts w:hint="eastAsia" w:ascii="宋体" w:hAnsi="宋体" w:cs="宋体"/>
          <w:b/>
          <w:bCs/>
          <w:color w:val="000000"/>
          <w:sz w:val="24"/>
        </w:rPr>
      </w:pPr>
      <w:r>
        <w:rPr>
          <w:rFonts w:ascii="宋体" w:hAnsi="宋体"/>
          <w:b/>
          <w:sz w:val="36"/>
          <w:szCs w:val="36"/>
        </w:rPr>
        <w:br w:type="page"/>
      </w:r>
    </w:p>
    <w:p>
      <w:pPr>
        <w:jc w:val="center"/>
        <w:rPr>
          <w:rFonts w:hint="eastAsia" w:ascii="宋体" w:hAnsi="宋体" w:cs="宋体"/>
          <w:b/>
          <w:bCs/>
          <w:color w:val="000000"/>
          <w:sz w:val="24"/>
        </w:rPr>
        <w:sectPr>
          <w:type w:val="continuous"/>
          <w:pgSz w:w="11906" w:h="16838"/>
          <w:pgMar w:top="1440" w:right="1800" w:bottom="1440" w:left="1800" w:header="851" w:footer="992" w:gutter="0"/>
          <w:cols w:space="720" w:num="1"/>
          <w:docGrid w:type="lines" w:linePitch="312" w:charSpace="0"/>
        </w:sectPr>
      </w:pPr>
    </w:p>
    <w:p>
      <w:pPr>
        <w:jc w:val="center"/>
        <w:rPr>
          <w:rFonts w:hint="eastAsia" w:ascii="宋体" w:hAnsi="宋体" w:cs="宋体"/>
          <w:b/>
          <w:color w:val="000000"/>
          <w:sz w:val="24"/>
        </w:rPr>
      </w:pPr>
      <w:bookmarkStart w:id="0" w:name="_Toc68963457"/>
      <w:r>
        <w:rPr>
          <w:rFonts w:hint="eastAsia" w:ascii="宋体" w:hAnsi="宋体" w:cs="宋体"/>
          <w:b/>
          <w:color w:val="000000"/>
          <w:sz w:val="24"/>
        </w:rPr>
        <w:t>目 录</w:t>
      </w:r>
      <w:bookmarkEnd w:id="0"/>
    </w:p>
    <w:p>
      <w:pPr>
        <w:jc w:val="center"/>
        <w:rPr>
          <w:rFonts w:hint="eastAsia" w:ascii="宋体" w:hAnsi="宋体" w:cs="宋体"/>
          <w:b/>
          <w:color w:val="000000"/>
          <w:sz w:val="24"/>
        </w:rPr>
      </w:pPr>
    </w:p>
    <w:p>
      <w:pPr>
        <w:pStyle w:val="26"/>
        <w:tabs>
          <w:tab w:val="right" w:leader="dot" w:pos="9555"/>
          <w:tab w:val="clear" w:pos="8302"/>
        </w:tabs>
        <w:jc w:val="right"/>
        <w:rPr>
          <w:rFonts w:ascii="宋体" w:hAnsi="宋体"/>
        </w:rPr>
      </w:pPr>
      <w:r>
        <w:rPr>
          <w:rFonts w:hint="eastAsia" w:ascii="宋体" w:hAnsi="宋体" w:cs="宋体"/>
          <w:color w:val="000000"/>
          <w:sz w:val="24"/>
        </w:rPr>
        <w:fldChar w:fldCharType="begin"/>
      </w:r>
      <w:r>
        <w:rPr>
          <w:rFonts w:hint="eastAsia" w:ascii="宋体" w:hAnsi="宋体" w:cs="宋体"/>
          <w:color w:val="000000"/>
          <w:sz w:val="24"/>
        </w:rPr>
        <w:instrText xml:space="preserve"> TOC \o "1-3" \h \z \u </w:instrText>
      </w:r>
      <w:r>
        <w:rPr>
          <w:rFonts w:hint="eastAsia" w:ascii="宋体" w:hAnsi="宋体" w:cs="宋体"/>
          <w:color w:val="000000"/>
          <w:sz w:val="24"/>
        </w:rPr>
        <w:fldChar w:fldCharType="separate"/>
      </w: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"_Toc511132629"</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第一章</w:t>
      </w:r>
      <w:r>
        <w:rPr>
          <w:rStyle w:val="40"/>
          <w:rFonts w:ascii="宋体" w:hAnsi="宋体" w:cs="宋体"/>
        </w:rPr>
        <w:t xml:space="preserve">  </w:t>
      </w:r>
      <w:r>
        <w:rPr>
          <w:rStyle w:val="40"/>
          <w:rFonts w:hint="eastAsia" w:ascii="宋体" w:hAnsi="宋体" w:cs="宋体"/>
        </w:rPr>
        <w:t>比</w:t>
      </w:r>
      <w:r>
        <w:rPr>
          <w:rStyle w:val="40"/>
          <w:rFonts w:ascii="宋体" w:hAnsi="宋体" w:cs="宋体"/>
        </w:rPr>
        <w:t xml:space="preserve"> </w:t>
      </w:r>
      <w:r>
        <w:rPr>
          <w:rStyle w:val="40"/>
          <w:rFonts w:hint="eastAsia" w:ascii="宋体" w:hAnsi="宋体" w:cs="宋体"/>
        </w:rPr>
        <w:t>选</w:t>
      </w:r>
      <w:r>
        <w:rPr>
          <w:rStyle w:val="40"/>
          <w:rFonts w:ascii="宋体" w:hAnsi="宋体" w:cs="宋体"/>
        </w:rPr>
        <w:t xml:space="preserve"> </w:t>
      </w:r>
      <w:r>
        <w:rPr>
          <w:rStyle w:val="40"/>
          <w:rFonts w:hint="eastAsia" w:ascii="宋体" w:hAnsi="宋体" w:cs="宋体"/>
        </w:rPr>
        <w:t>邀</w:t>
      </w:r>
      <w:r>
        <w:rPr>
          <w:rStyle w:val="40"/>
          <w:rFonts w:ascii="宋体" w:hAnsi="宋体" w:cs="宋体"/>
        </w:rPr>
        <w:t xml:space="preserve"> </w:t>
      </w:r>
      <w:r>
        <w:rPr>
          <w:rStyle w:val="40"/>
          <w:rFonts w:hint="eastAsia" w:ascii="宋体" w:hAnsi="宋体" w:cs="宋体"/>
        </w:rPr>
        <w:t>请</w:t>
      </w:r>
      <w:r>
        <w:rPr>
          <w:rStyle w:val="40"/>
          <w:rFonts w:ascii="宋体" w:hAnsi="宋体" w:cs="宋体"/>
        </w:rPr>
        <w:t xml:space="preserve"> </w:t>
      </w:r>
      <w:r>
        <w:rPr>
          <w:rStyle w:val="40"/>
          <w:rFonts w:hint="eastAsia" w:ascii="宋体" w:hAnsi="宋体" w:cs="宋体"/>
        </w:rPr>
        <w:t>书</w:t>
      </w:r>
      <w:r>
        <w:rPr>
          <w:rFonts w:ascii="宋体" w:hAnsi="宋体"/>
        </w:rPr>
        <w:tab/>
      </w:r>
      <w:r>
        <w:rPr>
          <w:rFonts w:ascii="宋体" w:hAnsi="宋体"/>
        </w:rPr>
        <w:fldChar w:fldCharType="begin"/>
      </w:r>
      <w:r>
        <w:rPr>
          <w:rFonts w:ascii="宋体" w:hAnsi="宋体"/>
        </w:rPr>
        <w:instrText xml:space="preserve"> PAGEREF _Toc511132629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"_Toc511132630"</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第二章、比选供应商须知</w:t>
      </w:r>
      <w:r>
        <w:rPr>
          <w:rFonts w:ascii="宋体" w:hAnsi="宋体"/>
        </w:rPr>
        <w:tab/>
      </w:r>
      <w:r>
        <w:rPr>
          <w:rFonts w:ascii="宋体" w:hAnsi="宋体"/>
        </w:rPr>
        <w:t>6</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"_Toc511132631"</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一、总则</w:t>
      </w:r>
      <w:r>
        <w:rPr>
          <w:rFonts w:ascii="宋体" w:hAnsi="宋体"/>
        </w:rPr>
        <w:tab/>
      </w:r>
      <w:r>
        <w:rPr>
          <w:rFonts w:ascii="宋体" w:hAnsi="宋体"/>
        </w:rPr>
        <w:t>8</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"_Toc511132632"</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二、比选文件</w:t>
      </w:r>
      <w:r>
        <w:rPr>
          <w:rFonts w:ascii="宋体" w:hAnsi="宋体"/>
        </w:rPr>
        <w:tab/>
      </w:r>
      <w:r>
        <w:rPr>
          <w:rFonts w:ascii="宋体" w:hAnsi="宋体"/>
        </w:rPr>
        <w:t>9</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"_Toc511132633"</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三、比选响应文件的编制</w:t>
      </w:r>
      <w:r>
        <w:rPr>
          <w:rFonts w:ascii="宋体" w:hAnsi="宋体"/>
        </w:rPr>
        <w:tab/>
      </w:r>
      <w:r>
        <w:rPr>
          <w:rFonts w:ascii="宋体" w:hAnsi="宋体"/>
        </w:rPr>
        <w:t>10</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"_Toc511132634"</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四、比选响应文件的递交</w:t>
      </w:r>
      <w:r>
        <w:rPr>
          <w:rFonts w:ascii="宋体" w:hAnsi="宋体"/>
        </w:rPr>
        <w:tab/>
      </w:r>
      <w:r>
        <w:rPr>
          <w:rFonts w:ascii="宋体" w:hAnsi="宋体"/>
        </w:rPr>
        <w:t>12</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"_Toc511132635"</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五、比选与评审</w:t>
      </w:r>
      <w:r>
        <w:rPr>
          <w:rFonts w:ascii="宋体" w:hAnsi="宋体"/>
        </w:rPr>
        <w:tab/>
      </w:r>
      <w:r>
        <w:rPr>
          <w:rFonts w:ascii="宋体" w:hAnsi="宋体"/>
        </w:rPr>
        <w:t>13</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"_Toc511132636"</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六、合同的授予</w:t>
      </w:r>
      <w:r>
        <w:rPr>
          <w:rFonts w:ascii="宋体" w:hAnsi="宋体"/>
        </w:rPr>
        <w:tab/>
      </w:r>
      <w:r>
        <w:rPr>
          <w:rFonts w:ascii="宋体" w:hAnsi="宋体"/>
        </w:rPr>
        <w:fldChar w:fldCharType="begin"/>
      </w:r>
      <w:r>
        <w:rPr>
          <w:rFonts w:ascii="宋体" w:hAnsi="宋体"/>
        </w:rPr>
        <w:instrText xml:space="preserve"> PAGEREF _Toc511132636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"_Toc511132637"</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第三章、合同条件、格式</w:t>
      </w:r>
      <w:r>
        <w:rPr>
          <w:rFonts w:ascii="宋体" w:hAnsi="宋体"/>
        </w:rPr>
        <w:tab/>
      </w:r>
      <w:r>
        <w:rPr>
          <w:rFonts w:ascii="宋体" w:hAnsi="宋体"/>
        </w:rPr>
        <w:t>17</w:t>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"_Toc511132659"</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第四章、技术服务需求及说明</w:t>
      </w:r>
      <w:r>
        <w:rPr>
          <w:rFonts w:ascii="宋体" w:hAnsi="宋体"/>
        </w:rPr>
        <w:tab/>
      </w:r>
      <w:r>
        <w:rPr>
          <w:rFonts w:ascii="宋体" w:hAnsi="宋体"/>
        </w:rPr>
        <w:t>34</w:t>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"_Toc511132660"</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第五章、比选响应文件格式</w:t>
      </w:r>
      <w:r>
        <w:rPr>
          <w:rFonts w:ascii="宋体" w:hAnsi="宋体"/>
        </w:rPr>
        <w:tab/>
      </w:r>
      <w:r>
        <w:rPr>
          <w:rFonts w:ascii="宋体" w:hAnsi="宋体"/>
        </w:rPr>
        <w:fldChar w:fldCharType="begin"/>
      </w:r>
      <w:r>
        <w:rPr>
          <w:rFonts w:ascii="宋体" w:hAnsi="宋体"/>
        </w:rPr>
        <w:instrText xml:space="preserve"> PAGEREF _Toc511132660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"_Toc511132661"</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一、比选函</w:t>
      </w:r>
      <w:r>
        <w:rPr>
          <w:rFonts w:ascii="宋体" w:hAnsi="宋体"/>
        </w:rPr>
        <w:tab/>
      </w:r>
      <w:r>
        <w:rPr>
          <w:rFonts w:ascii="宋体" w:hAnsi="宋体"/>
        </w:rPr>
        <w:t>37</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"_Toc511132662"</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二、法定代表人授权委托书</w:t>
      </w:r>
      <w:r>
        <w:rPr>
          <w:rFonts w:ascii="宋体" w:hAnsi="宋体"/>
        </w:rPr>
        <w:tab/>
      </w:r>
      <w:r>
        <w:rPr>
          <w:rFonts w:ascii="宋体" w:hAnsi="宋体"/>
        </w:rPr>
        <w:t>38</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"_Toc511132663"</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三、比选报价表</w:t>
      </w:r>
      <w:r>
        <w:rPr>
          <w:rFonts w:ascii="宋体" w:hAnsi="宋体"/>
        </w:rPr>
        <w:tab/>
      </w:r>
      <w:r>
        <w:rPr>
          <w:rFonts w:ascii="宋体" w:hAnsi="宋体"/>
        </w:rPr>
        <w:t>39</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"_Toc511132664"</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备注：</w:t>
      </w:r>
      <w:r>
        <w:rPr>
          <w:rFonts w:ascii="宋体" w:hAnsi="宋体"/>
        </w:rPr>
        <w:tab/>
      </w:r>
      <w:r>
        <w:rPr>
          <w:rFonts w:ascii="宋体" w:hAnsi="宋体"/>
        </w:rPr>
        <w:t>39</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"_Toc511132665"</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四、比选报价明细表</w:t>
      </w:r>
      <w:r>
        <w:rPr>
          <w:rFonts w:ascii="宋体" w:hAnsi="宋体"/>
        </w:rPr>
        <w:tab/>
      </w:r>
      <w:r>
        <w:rPr>
          <w:rFonts w:ascii="宋体" w:hAnsi="宋体"/>
        </w:rPr>
        <w:t>40</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"_Toc511132666"</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五、比选供应商基本情况表</w:t>
      </w:r>
      <w:r>
        <w:rPr>
          <w:rFonts w:ascii="宋体" w:hAnsi="宋体"/>
        </w:rPr>
        <w:tab/>
      </w:r>
      <w:r>
        <w:rPr>
          <w:rFonts w:ascii="宋体" w:hAnsi="宋体"/>
        </w:rPr>
        <w:t>41</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"_Toc511132667"</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六、服务项目人员构成</w:t>
      </w:r>
      <w:r>
        <w:rPr>
          <w:rFonts w:ascii="宋体" w:hAnsi="宋体"/>
        </w:rPr>
        <w:tab/>
      </w:r>
      <w:r>
        <w:rPr>
          <w:rFonts w:ascii="宋体" w:hAnsi="宋体"/>
        </w:rPr>
        <w:t>42</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"_Toc511132668"</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七、拟派负责人简历表</w:t>
      </w:r>
      <w:r>
        <w:rPr>
          <w:rFonts w:ascii="宋体" w:hAnsi="宋体"/>
        </w:rPr>
        <w:tab/>
      </w:r>
      <w:r>
        <w:rPr>
          <w:rFonts w:ascii="宋体" w:hAnsi="宋体"/>
        </w:rPr>
        <w:t>43</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"_Toc511132669"</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八、针对该项目派遣的服务人员情况汇总表</w:t>
      </w:r>
      <w:r>
        <w:rPr>
          <w:rFonts w:ascii="宋体" w:hAnsi="宋体"/>
        </w:rPr>
        <w:tab/>
      </w:r>
      <w:r>
        <w:rPr>
          <w:rFonts w:ascii="宋体" w:hAnsi="宋体"/>
        </w:rPr>
        <w:t>44</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"_Toc511132670"</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九、服务业绩表</w:t>
      </w:r>
      <w:r>
        <w:rPr>
          <w:rFonts w:ascii="宋体" w:hAnsi="宋体"/>
        </w:rPr>
        <w:tab/>
      </w:r>
      <w:r>
        <w:rPr>
          <w:rFonts w:ascii="宋体" w:hAnsi="宋体"/>
        </w:rPr>
        <w:t>45</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"_Toc511132672"</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十一、服务</w:t>
      </w:r>
      <w:bookmarkStart w:id="1" w:name="_Hlt105494942"/>
      <w:bookmarkStart w:id="2" w:name="_Hlt105494941"/>
      <w:r>
        <w:rPr>
          <w:rStyle w:val="40"/>
          <w:rFonts w:hint="eastAsia" w:ascii="宋体" w:hAnsi="宋体" w:cs="宋体"/>
        </w:rPr>
        <w:t>方</w:t>
      </w:r>
      <w:bookmarkEnd w:id="1"/>
      <w:bookmarkEnd w:id="2"/>
      <w:r>
        <w:rPr>
          <w:rStyle w:val="40"/>
          <w:rFonts w:hint="eastAsia" w:ascii="宋体" w:hAnsi="宋体" w:cs="宋体"/>
        </w:rPr>
        <w:t>案</w:t>
      </w:r>
      <w:r>
        <w:rPr>
          <w:rFonts w:ascii="宋体" w:hAnsi="宋体"/>
        </w:rPr>
        <w:tab/>
      </w:r>
      <w:r>
        <w:rPr>
          <w:rFonts w:ascii="宋体" w:hAnsi="宋体"/>
        </w:rPr>
        <w:t>48</w:t>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"_Toc511132673"</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第六章、评审办法</w:t>
      </w:r>
      <w:r>
        <w:rPr>
          <w:rFonts w:ascii="宋体" w:hAnsi="宋体"/>
        </w:rPr>
        <w:tab/>
      </w:r>
      <w:r>
        <w:rPr>
          <w:rFonts w:ascii="宋体" w:hAnsi="宋体"/>
        </w:rPr>
        <w:t>49</w:t>
      </w:r>
      <w:r>
        <w:rPr>
          <w:rFonts w:ascii="宋体" w:hAnsi="宋体"/>
        </w:rPr>
        <w:fldChar w:fldCharType="end"/>
      </w:r>
    </w:p>
    <w:p>
      <w:pPr>
        <w:spacing w:line="360" w:lineRule="auto"/>
        <w:rPr>
          <w:rFonts w:hint="eastAsia" w:ascii="宋体" w:hAnsi="宋体" w:cs="宋体"/>
          <w:color w:val="000000"/>
          <w:sz w:val="24"/>
        </w:rPr>
      </w:pPr>
      <w:r>
        <w:rPr>
          <w:rFonts w:hint="eastAsia" w:ascii="宋体" w:hAnsi="宋体" w:cs="宋体"/>
          <w:color w:val="000000"/>
          <w:sz w:val="24"/>
        </w:rPr>
        <w:fldChar w:fldCharType="end"/>
      </w:r>
    </w:p>
    <w:p/>
    <w:p>
      <w:pPr>
        <w:spacing w:line="360" w:lineRule="auto"/>
        <w:rPr>
          <w:rFonts w:hint="eastAsia" w:ascii="宋体" w:hAnsi="宋体" w:cs="宋体"/>
          <w:color w:val="000000"/>
          <w:sz w:val="24"/>
        </w:rPr>
      </w:pPr>
    </w:p>
    <w:p>
      <w:pPr>
        <w:rPr>
          <w:rFonts w:hint="eastAsia" w:ascii="宋体" w:hAnsi="宋体" w:cs="宋体"/>
          <w:color w:val="000000"/>
          <w:sz w:val="24"/>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12" w:charSpace="0"/>
        </w:sectPr>
      </w:pPr>
    </w:p>
    <w:p>
      <w:pPr>
        <w:pStyle w:val="3"/>
        <w:pageBreakBefore/>
        <w:adjustRightInd/>
        <w:snapToGrid/>
        <w:rPr>
          <w:rFonts w:hint="eastAsia" w:ascii="宋体" w:hAnsi="宋体" w:eastAsia="宋体" w:cs="宋体"/>
          <w:sz w:val="24"/>
          <w:szCs w:val="24"/>
        </w:rPr>
      </w:pPr>
      <w:bookmarkStart w:id="3" w:name="_Toc163584811"/>
      <w:bookmarkStart w:id="4" w:name="_Toc163585603"/>
      <w:bookmarkStart w:id="5" w:name="_Toc151775845"/>
      <w:bookmarkStart w:id="6" w:name="_Toc163584393"/>
      <w:bookmarkStart w:id="7" w:name="_Toc391356544"/>
      <w:bookmarkStart w:id="8" w:name="_Toc511132629"/>
      <w:bookmarkStart w:id="9" w:name="_Toc105496485"/>
      <w:r>
        <w:rPr>
          <w:rFonts w:hint="eastAsia" w:ascii="宋体" w:hAnsi="宋体" w:eastAsia="宋体" w:cs="宋体"/>
          <w:sz w:val="24"/>
          <w:szCs w:val="24"/>
        </w:rPr>
        <w:t xml:space="preserve">第一章  </w:t>
      </w:r>
      <w:bookmarkEnd w:id="3"/>
      <w:bookmarkEnd w:id="4"/>
      <w:bookmarkEnd w:id="5"/>
      <w:bookmarkEnd w:id="6"/>
      <w:bookmarkEnd w:id="7"/>
      <w:r>
        <w:rPr>
          <w:rFonts w:hint="eastAsia" w:ascii="宋体" w:hAnsi="宋体" w:eastAsia="宋体" w:cs="宋体"/>
          <w:color w:val="000000"/>
          <w:sz w:val="24"/>
          <w:szCs w:val="24"/>
        </w:rPr>
        <w:t>比 选 邀 请 书</w:t>
      </w:r>
      <w:bookmarkEnd w:id="8"/>
      <w:bookmarkEnd w:id="9"/>
    </w:p>
    <w:p>
      <w:pPr>
        <w:spacing w:line="360" w:lineRule="auto"/>
        <w:ind w:firstLine="480"/>
        <w:rPr>
          <w:rFonts w:hint="eastAsia" w:ascii="宋体" w:hAnsi="宋体" w:cs="宋体"/>
          <w:sz w:val="24"/>
        </w:rPr>
      </w:pPr>
    </w:p>
    <w:p>
      <w:pPr>
        <w:spacing w:line="240" w:lineRule="auto"/>
        <w:ind w:firstLine="0" w:firstLineChars="0"/>
        <w:jc w:val="left"/>
        <w:rPr>
          <w:rFonts w:hint="eastAsia" w:ascii="宋体" w:hAnsi="宋体" w:eastAsia="宋体" w:cs="宋体"/>
          <w:sz w:val="24"/>
        </w:rPr>
      </w:pPr>
      <w:r>
        <w:rPr>
          <w:rFonts w:hint="eastAsia" w:ascii="宋体" w:hAnsi="宋体" w:eastAsia="宋体" w:cs="宋体"/>
          <w:sz w:val="24"/>
        </w:rPr>
        <w:t>北京市城市管理委员会现利用北京市中介服务网上交易平台，对</w:t>
      </w:r>
      <w:r>
        <w:rPr>
          <w:rFonts w:hint="eastAsia" w:ascii="宋体" w:hAnsi="宋体" w:eastAsia="宋体" w:cs="宋体"/>
          <w:sz w:val="24"/>
          <w:lang w:eastAsia="zh-CN"/>
        </w:rPr>
        <w:t>固体废弃物管理服务-2025年北京市</w:t>
      </w:r>
      <w:r>
        <w:rPr>
          <w:rFonts w:hint="eastAsia" w:ascii="宋体" w:hAnsi="宋体" w:eastAsia="宋体" w:cs="宋体"/>
          <w:sz w:val="24"/>
        </w:rPr>
        <w:t>可回收物运行情况调查服务项目进行比选。现邀请合格的比选供应商前来</w:t>
      </w:r>
      <w:r>
        <w:rPr>
          <w:rFonts w:hint="eastAsia" w:ascii="宋体" w:hAnsi="宋体" w:cs="宋体"/>
          <w:sz w:val="24"/>
          <w:lang w:val="en-US" w:eastAsia="zh-CN"/>
        </w:rPr>
        <w:t>采购</w:t>
      </w:r>
      <w:r>
        <w:rPr>
          <w:rFonts w:hint="eastAsia" w:ascii="宋体" w:hAnsi="宋体" w:eastAsia="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1  </w:t>
      </w:r>
      <w:r>
        <w:rPr>
          <w:rFonts w:hint="eastAsia" w:ascii="宋体" w:hAnsi="宋体" w:cs="宋体"/>
          <w:sz w:val="24"/>
          <w:lang w:eastAsia="zh-CN"/>
        </w:rPr>
        <w:t>采购</w:t>
      </w:r>
      <w:r>
        <w:rPr>
          <w:rFonts w:hint="eastAsia" w:ascii="宋体" w:hAnsi="宋体" w:cs="宋体"/>
          <w:sz w:val="24"/>
        </w:rPr>
        <w:t>人信息</w:t>
      </w:r>
    </w:p>
    <w:p>
      <w:pPr>
        <w:spacing w:line="360" w:lineRule="auto"/>
        <w:ind w:firstLine="480" w:firstLineChars="200"/>
        <w:rPr>
          <w:rFonts w:hint="eastAsia" w:ascii="宋体" w:hAnsi="宋体" w:cs="宋体"/>
          <w:sz w:val="24"/>
        </w:rPr>
      </w:pPr>
      <w:r>
        <w:rPr>
          <w:rFonts w:hint="eastAsia" w:ascii="宋体" w:hAnsi="宋体" w:cs="宋体"/>
          <w:sz w:val="24"/>
        </w:rPr>
        <w:t>项目名称：</w:t>
      </w:r>
      <w:r>
        <w:rPr>
          <w:rFonts w:hint="eastAsia" w:ascii="宋体" w:hAnsi="宋体" w:eastAsia="宋体" w:cs="宋体"/>
          <w:b w:val="0"/>
          <w:sz w:val="24"/>
          <w:szCs w:val="24"/>
          <w:u w:val="single"/>
          <w:lang w:eastAsia="zh-CN"/>
        </w:rPr>
        <w:t>固体废弃物管理服务-2025年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项目编号：</w:t>
      </w:r>
    </w:p>
    <w:p>
      <w:pPr>
        <w:spacing w:line="360" w:lineRule="auto"/>
        <w:ind w:firstLine="480" w:firstLineChars="200"/>
        <w:rPr>
          <w:rFonts w:hint="eastAsia" w:ascii="宋体" w:hAnsi="宋体" w:cs="宋体"/>
          <w:sz w:val="24"/>
        </w:rPr>
      </w:pPr>
      <w:r>
        <w:rPr>
          <w:rFonts w:hint="eastAsia" w:ascii="宋体" w:hAnsi="宋体" w:cs="宋体"/>
          <w:sz w:val="24"/>
        </w:rPr>
        <w:t>采购人名称：北京市城市管理委员会</w:t>
      </w:r>
    </w:p>
    <w:p>
      <w:pPr>
        <w:spacing w:line="360" w:lineRule="auto"/>
        <w:ind w:firstLine="480" w:firstLineChars="200"/>
        <w:rPr>
          <w:rFonts w:hint="eastAsia" w:ascii="宋体" w:hAnsi="宋体" w:cs="宋体"/>
          <w:sz w:val="24"/>
        </w:rPr>
      </w:pPr>
      <w:r>
        <w:rPr>
          <w:rFonts w:hint="eastAsia" w:ascii="宋体" w:hAnsi="宋体" w:cs="宋体"/>
          <w:sz w:val="24"/>
        </w:rPr>
        <w:t>采购人地址：北京市西城区西单北大街80号</w:t>
      </w:r>
    </w:p>
    <w:p>
      <w:pPr>
        <w:spacing w:line="360" w:lineRule="auto"/>
        <w:ind w:firstLine="480" w:firstLineChars="200"/>
        <w:rPr>
          <w:rFonts w:hint="eastAsia" w:ascii="宋体" w:hAnsi="宋体" w:cs="宋体"/>
          <w:sz w:val="24"/>
        </w:rPr>
      </w:pPr>
      <w:r>
        <w:rPr>
          <w:rFonts w:hint="eastAsia" w:ascii="宋体" w:hAnsi="宋体" w:cs="宋体"/>
          <w:sz w:val="24"/>
        </w:rPr>
        <w:t xml:space="preserve">采购负责人：马先生 </w:t>
      </w:r>
    </w:p>
    <w:p>
      <w:pPr>
        <w:spacing w:line="360" w:lineRule="auto"/>
        <w:ind w:firstLine="480" w:firstLineChars="200"/>
        <w:rPr>
          <w:rFonts w:ascii="宋体" w:hAnsi="宋体" w:cs="宋体"/>
          <w:sz w:val="24"/>
        </w:rPr>
      </w:pPr>
      <w:r>
        <w:rPr>
          <w:rFonts w:hint="eastAsia" w:ascii="宋体" w:hAnsi="宋体" w:cs="宋体"/>
          <w:sz w:val="24"/>
        </w:rPr>
        <w:t>采购人联系方式：66055536</w:t>
      </w:r>
    </w:p>
    <w:p>
      <w:pPr>
        <w:tabs>
          <w:tab w:val="left" w:pos="720"/>
        </w:tabs>
        <w:spacing w:line="360" w:lineRule="auto"/>
        <w:ind w:firstLine="480" w:firstLineChars="200"/>
        <w:rPr>
          <w:rFonts w:hint="eastAsia" w:ascii="宋体" w:hAnsi="宋体" w:cs="宋体"/>
          <w:sz w:val="24"/>
        </w:rPr>
      </w:pPr>
      <w:r>
        <w:rPr>
          <w:rFonts w:hint="eastAsia" w:ascii="宋体" w:hAnsi="宋体" w:cs="宋体"/>
          <w:sz w:val="24"/>
        </w:rPr>
        <w:t>2  采购内容：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①摸底调研。</w:t>
      </w:r>
      <w:r>
        <w:rPr>
          <w:rFonts w:hint="eastAsia" w:ascii="宋体" w:hAnsi="宋体" w:cs="宋体"/>
          <w:sz w:val="24"/>
          <w:lang w:eastAsia="zh-CN"/>
        </w:rPr>
        <w:t>重点围绕低值可回收物，定期</w:t>
      </w:r>
      <w:r>
        <w:rPr>
          <w:rFonts w:hint="eastAsia" w:ascii="宋体" w:hAnsi="宋体" w:cs="宋体"/>
          <w:sz w:val="24"/>
        </w:rPr>
        <w:t>对各区可回收物</w:t>
      </w:r>
      <w:r>
        <w:rPr>
          <w:rFonts w:hint="eastAsia" w:ascii="宋体" w:hAnsi="宋体" w:cs="宋体"/>
          <w:sz w:val="24"/>
          <w:lang w:eastAsia="zh-CN"/>
        </w:rPr>
        <w:t>体系建设和运行</w:t>
      </w:r>
      <w:r>
        <w:rPr>
          <w:rFonts w:hint="eastAsia" w:ascii="宋体" w:hAnsi="宋体" w:cs="宋体"/>
          <w:sz w:val="24"/>
        </w:rPr>
        <w:t>情况进行</w:t>
      </w:r>
      <w:r>
        <w:rPr>
          <w:rFonts w:hint="eastAsia" w:ascii="宋体" w:hAnsi="宋体" w:cs="宋体"/>
          <w:sz w:val="24"/>
          <w:lang w:eastAsia="zh-CN"/>
        </w:rPr>
        <w:t>调研</w:t>
      </w:r>
      <w:r>
        <w:rPr>
          <w:rFonts w:hint="eastAsia" w:ascii="宋体" w:hAnsi="宋体" w:cs="宋体"/>
          <w:sz w:val="24"/>
        </w:rPr>
        <w:t>跟踪，</w:t>
      </w:r>
      <w:r>
        <w:rPr>
          <w:rFonts w:hint="eastAsia" w:ascii="宋体" w:hAnsi="宋体" w:cs="宋体"/>
          <w:sz w:val="24"/>
          <w:lang w:eastAsia="zh-CN"/>
        </w:rPr>
        <w:t>收集汇总各区便民回收渠道建设运行</w:t>
      </w:r>
      <w:r>
        <w:rPr>
          <w:rFonts w:hint="eastAsia" w:ascii="宋体" w:hAnsi="宋体" w:cs="宋体"/>
          <w:sz w:val="24"/>
        </w:rPr>
        <w:t>情况。编制《202</w:t>
      </w:r>
      <w:r>
        <w:rPr>
          <w:rFonts w:hint="eastAsia" w:ascii="宋体" w:hAnsi="宋体" w:cs="宋体"/>
          <w:sz w:val="24"/>
          <w:lang w:val="en-US" w:eastAsia="zh-CN"/>
        </w:rPr>
        <w:t>5</w:t>
      </w:r>
      <w:r>
        <w:rPr>
          <w:rFonts w:hint="eastAsia" w:ascii="宋体" w:hAnsi="宋体" w:cs="宋体"/>
          <w:sz w:val="24"/>
        </w:rPr>
        <w:t>年北京市可回收物运行情况调查报告》。</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eastAsia="zh-CN"/>
        </w:rPr>
        <w:t>专项调研</w:t>
      </w:r>
      <w:r>
        <w:rPr>
          <w:rFonts w:hint="eastAsia" w:ascii="宋体" w:hAnsi="宋体" w:eastAsia="宋体" w:cs="宋体"/>
          <w:sz w:val="24"/>
        </w:rPr>
        <w:t>。</w:t>
      </w:r>
      <w:r>
        <w:rPr>
          <w:rFonts w:hint="eastAsia" w:ascii="宋体" w:hAnsi="宋体" w:eastAsia="宋体" w:cs="宋体"/>
          <w:sz w:val="24"/>
          <w:lang w:eastAsia="zh-CN"/>
        </w:rPr>
        <w:t>开展大件垃圾回收体系建设专项调研，</w:t>
      </w:r>
      <w:r>
        <w:rPr>
          <w:rFonts w:hint="eastAsia" w:ascii="宋体" w:hAnsi="宋体" w:eastAsia="宋体" w:cs="宋体"/>
          <w:bCs w:val="0"/>
          <w:color w:val="000000"/>
          <w:sz w:val="24"/>
          <w:lang w:eastAsia="zh-CN"/>
        </w:rPr>
        <w:t>梳理和</w:t>
      </w:r>
      <w:r>
        <w:rPr>
          <w:rFonts w:hint="eastAsia" w:ascii="宋体" w:hAnsi="宋体" w:eastAsia="宋体" w:cs="宋体"/>
          <w:bCs w:val="0"/>
          <w:color w:val="000000"/>
          <w:sz w:val="24"/>
        </w:rPr>
        <w:t>对比分析国内</w:t>
      </w:r>
      <w:r>
        <w:rPr>
          <w:rFonts w:hint="eastAsia" w:ascii="宋体" w:hAnsi="宋体" w:eastAsia="宋体" w:cs="宋体"/>
          <w:bCs w:val="0"/>
          <w:color w:val="000000"/>
          <w:sz w:val="24"/>
          <w:lang w:eastAsia="zh-CN"/>
        </w:rPr>
        <w:t>大件垃圾</w:t>
      </w:r>
      <w:r>
        <w:rPr>
          <w:rFonts w:hint="eastAsia" w:ascii="宋体" w:hAnsi="宋体" w:eastAsia="宋体" w:cs="宋体"/>
          <w:bCs w:val="0"/>
          <w:color w:val="000000"/>
          <w:sz w:val="24"/>
        </w:rPr>
        <w:t>管理的相关经验和制度，</w:t>
      </w:r>
      <w:r>
        <w:rPr>
          <w:rFonts w:hint="eastAsia" w:ascii="宋体" w:hAnsi="宋体" w:eastAsia="宋体" w:cs="宋体"/>
          <w:sz w:val="24"/>
        </w:rPr>
        <w:t>针对北京市</w:t>
      </w:r>
      <w:r>
        <w:rPr>
          <w:rFonts w:hint="eastAsia" w:ascii="宋体" w:hAnsi="宋体" w:eastAsia="宋体" w:cs="宋体"/>
          <w:sz w:val="24"/>
          <w:lang w:eastAsia="zh-CN"/>
        </w:rPr>
        <w:t>大件垃圾管理</w:t>
      </w:r>
      <w:r>
        <w:rPr>
          <w:rFonts w:hint="eastAsia" w:ascii="宋体" w:hAnsi="宋体" w:eastAsia="宋体" w:cs="宋体"/>
          <w:sz w:val="24"/>
        </w:rPr>
        <w:t>工作提出建议。</w:t>
      </w:r>
      <w:r>
        <w:rPr>
          <w:rFonts w:hint="eastAsia" w:ascii="宋体" w:hAnsi="宋体" w:eastAsia="宋体" w:cs="宋体"/>
          <w:bCs w:val="0"/>
          <w:color w:val="000000"/>
          <w:sz w:val="24"/>
          <w:lang w:eastAsia="zh-CN"/>
        </w:rPr>
        <w:t>编制《北京市大件垃圾回收体系运行情况调查报告》。</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③基础性研究。借鉴国内外先进经验，</w:t>
      </w:r>
      <w:r>
        <w:rPr>
          <w:rFonts w:hint="eastAsia" w:ascii="宋体" w:hAnsi="宋体" w:eastAsia="宋体" w:cs="宋体"/>
          <w:bCs/>
          <w:color w:val="000000"/>
          <w:sz w:val="24"/>
          <w:lang w:eastAsia="zh-CN"/>
        </w:rPr>
        <w:t>研究设计北京市再生资源回收日活动品牌名称、视觉标识、宣传口号等，形成品牌策划方案，为打造具有首都特色和全国影响力的垃圾分类品牌活动提供支撑。</w:t>
      </w:r>
      <w:r>
        <w:rPr>
          <w:rFonts w:hint="eastAsia" w:ascii="宋体" w:hAnsi="宋体" w:eastAsia="宋体" w:cs="宋体"/>
          <w:bCs/>
          <w:color w:val="000000"/>
          <w:sz w:val="24"/>
        </w:rPr>
        <w:t>进一步研究具有本市特色的“可回收物体系</w:t>
      </w:r>
      <w:r>
        <w:rPr>
          <w:rFonts w:hint="eastAsia" w:ascii="宋体" w:hAnsi="宋体" w:eastAsia="宋体" w:cs="宋体"/>
          <w:bCs/>
          <w:color w:val="000000"/>
          <w:sz w:val="24"/>
          <w:lang w:eastAsia="zh-CN"/>
        </w:rPr>
        <w:t>视觉识别系统</w:t>
      </w:r>
      <w:r>
        <w:rPr>
          <w:rFonts w:hint="eastAsia" w:ascii="宋体" w:hAnsi="宋体" w:eastAsia="宋体" w:cs="宋体"/>
          <w:bCs/>
          <w:color w:val="000000"/>
          <w:sz w:val="24"/>
        </w:rPr>
        <w:t>”，指导“点、站、中心”提升行业形象，提升规范化管理水平。</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sz w:val="24"/>
        </w:rPr>
        <w:t>④</w:t>
      </w:r>
      <w:r>
        <w:rPr>
          <w:rFonts w:hint="eastAsia" w:ascii="宋体" w:hAnsi="宋体" w:cs="宋体"/>
          <w:bCs/>
          <w:color w:val="000000"/>
          <w:sz w:val="24"/>
          <w:lang w:eastAsia="zh-CN"/>
        </w:rPr>
        <w:t>调研</w:t>
      </w:r>
      <w:r>
        <w:rPr>
          <w:rFonts w:hint="eastAsia" w:ascii="宋体" w:hAnsi="宋体" w:cs="宋体"/>
          <w:bCs/>
          <w:color w:val="000000"/>
          <w:sz w:val="24"/>
        </w:rPr>
        <w:t>梳理国内垃圾分类和再生资源回收“两网融合”成功经验和做法，研究促进垃圾分类和再生资源回收“两网融合”路线图</w:t>
      </w:r>
      <w:r>
        <w:rPr>
          <w:rFonts w:hint="eastAsia" w:ascii="宋体" w:hAnsi="宋体" w:cs="宋体"/>
          <w:bCs/>
          <w:color w:val="000000"/>
          <w:sz w:val="24"/>
          <w:lang w:eastAsia="zh-CN"/>
        </w:rPr>
        <w:t>，</w:t>
      </w:r>
      <w:r>
        <w:rPr>
          <w:rFonts w:hint="eastAsia" w:ascii="宋体" w:hAnsi="宋体" w:cs="宋体"/>
          <w:bCs/>
          <w:color w:val="000000"/>
          <w:sz w:val="24"/>
        </w:rPr>
        <w:t>形成垃圾分类和再生资源回收“两网融合”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3  </w:t>
      </w:r>
      <w:r>
        <w:rPr>
          <w:rFonts w:hint="eastAsia" w:ascii="宋体" w:hAnsi="宋体" w:cs="宋体"/>
          <w:b/>
          <w:sz w:val="24"/>
        </w:rPr>
        <w:t>本项目预算控制金额为59</w:t>
      </w:r>
      <w:r>
        <w:rPr>
          <w:rFonts w:hint="eastAsia" w:ascii="宋体" w:hAnsi="宋体" w:cs="宋体"/>
          <w:b/>
          <w:sz w:val="24"/>
          <w:lang w:val="en-US" w:eastAsia="zh-CN"/>
        </w:rPr>
        <w:t>1295</w:t>
      </w:r>
      <w:r>
        <w:rPr>
          <w:rFonts w:hint="eastAsia" w:ascii="宋体" w:hAnsi="宋体" w:cs="宋体"/>
          <w:b/>
          <w:sz w:val="24"/>
        </w:rPr>
        <w:t>元（财政资金）,高于该项目预算的比选供应商将被拒绝</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  供应商资格要求：</w:t>
      </w:r>
    </w:p>
    <w:p>
      <w:pPr>
        <w:spacing w:line="360" w:lineRule="auto"/>
        <w:ind w:firstLine="480" w:firstLineChars="200"/>
        <w:rPr>
          <w:rFonts w:hint="eastAsia" w:ascii="宋体" w:hAnsi="宋体" w:cs="宋体"/>
          <w:sz w:val="24"/>
          <w:szCs w:val="24"/>
        </w:rPr>
      </w:pPr>
      <w:r>
        <w:rPr>
          <w:rFonts w:hint="eastAsia" w:ascii="宋体" w:hAnsi="宋体" w:cs="宋体"/>
          <w:sz w:val="24"/>
        </w:rPr>
        <w:t>4.1  符合《中华人民共和国政府采购法》第二十二条规定、《政府购买服务管理办法》（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号）规定，承接政府购买服务的主体</w:t>
      </w:r>
      <w:r>
        <w:rPr>
          <w:rFonts w:hint="eastAsia" w:ascii="宋体" w:hAnsi="宋体" w:cs="宋体"/>
          <w:sz w:val="24"/>
          <w:szCs w:val="24"/>
        </w:rPr>
        <w:t>，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4.2  在中华人民共和国境内注册，具有独立法人资格、能够独立承担民事责任，良好的资信和完成合同约定任务的专业技术能力，包括出具具有法律效力的成果文件能力等；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4.3  遵守国家有关法律、法规、规章和北京市招投标及政府采购有关的规定，具有良好的商业信誉和健全的财务会计制度；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4.4  在法律上和财务上独立、合法运作并独立于采购人和采购代理机构之外；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4.5  参加政府采购活动近三年内，在经营活动中没有重大违法记录；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spacing w:line="360" w:lineRule="auto"/>
        <w:ind w:firstLine="480" w:firstLineChars="200"/>
        <w:rPr>
          <w:rFonts w:hint="eastAsia" w:ascii="宋体" w:hAnsi="宋体" w:cs="宋体"/>
          <w:sz w:val="24"/>
        </w:rPr>
      </w:pPr>
      <w:r>
        <w:rPr>
          <w:rFonts w:hint="eastAsia" w:ascii="宋体" w:hAnsi="宋体" w:cs="宋体"/>
          <w:sz w:val="24"/>
        </w:rPr>
        <w:t>4.7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w:t>
      </w:r>
    </w:p>
    <w:p>
      <w:pPr>
        <w:spacing w:line="360" w:lineRule="auto"/>
        <w:ind w:firstLine="480" w:firstLineChars="200"/>
        <w:rPr>
          <w:rFonts w:hint="eastAsia" w:ascii="宋体" w:hAnsi="宋体" w:cs="宋体"/>
          <w:sz w:val="24"/>
        </w:rPr>
      </w:pPr>
      <w:r>
        <w:rPr>
          <w:rFonts w:hint="eastAsia" w:ascii="宋体" w:hAnsi="宋体" w:cs="宋体"/>
          <w:sz w:val="24"/>
        </w:rPr>
        <w:t>4.8  不接受联合体投标。</w:t>
      </w:r>
    </w:p>
    <w:p>
      <w:pPr>
        <w:spacing w:line="360" w:lineRule="auto"/>
        <w:ind w:firstLine="480" w:firstLineChars="200"/>
        <w:rPr>
          <w:rFonts w:hint="eastAsia" w:ascii="宋体" w:hAnsi="宋体" w:cs="宋体"/>
          <w:sz w:val="24"/>
        </w:rPr>
      </w:pPr>
      <w:r>
        <w:rPr>
          <w:rFonts w:hint="eastAsia" w:ascii="宋体" w:hAnsi="宋体" w:cs="宋体"/>
          <w:sz w:val="24"/>
        </w:rPr>
        <w:t>5  比选报名时间：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日</w:t>
      </w:r>
      <w:r>
        <w:rPr>
          <w:rFonts w:hint="eastAsia" w:ascii="宋体" w:hAnsi="宋体" w:cs="宋体"/>
          <w:sz w:val="24"/>
          <w:u w:val="single"/>
        </w:rPr>
        <w:t>00</w:t>
      </w:r>
      <w:r>
        <w:rPr>
          <w:rFonts w:ascii="宋体" w:hAnsi="宋体" w:cs="宋体"/>
          <w:sz w:val="24"/>
          <w:u w:val="single"/>
        </w:rPr>
        <w:t>:</w:t>
      </w:r>
      <w:r>
        <w:rPr>
          <w:rFonts w:hint="eastAsia" w:ascii="宋体" w:hAnsi="宋体" w:cs="宋体"/>
          <w:sz w:val="24"/>
          <w:u w:val="single"/>
        </w:rPr>
        <w:t>00</w:t>
      </w:r>
      <w:r>
        <w:rPr>
          <w:rFonts w:hint="eastAsia" w:ascii="宋体" w:hAnsi="宋体" w:cs="宋体"/>
          <w:sz w:val="24"/>
        </w:rPr>
        <w:t>时-</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日</w:t>
      </w:r>
      <w:r>
        <w:rPr>
          <w:rFonts w:hint="eastAsia" w:ascii="宋体" w:hAnsi="宋体" w:cs="宋体"/>
          <w:sz w:val="24"/>
          <w:u w:val="single"/>
        </w:rPr>
        <w:t>23</w:t>
      </w:r>
      <w:r>
        <w:rPr>
          <w:rFonts w:ascii="宋体" w:hAnsi="宋体" w:cs="宋体"/>
          <w:sz w:val="24"/>
          <w:u w:val="single"/>
        </w:rPr>
        <w:t>:</w:t>
      </w:r>
      <w:r>
        <w:rPr>
          <w:rFonts w:hint="eastAsia" w:ascii="宋体" w:hAnsi="宋体" w:cs="宋体"/>
          <w:sz w:val="24"/>
          <w:u w:val="single"/>
        </w:rPr>
        <w:t>59</w:t>
      </w:r>
      <w:r>
        <w:rPr>
          <w:rFonts w:hint="eastAsia" w:ascii="宋体" w:hAnsi="宋体" w:cs="宋体"/>
          <w:sz w:val="24"/>
        </w:rPr>
        <w:t>时。</w:t>
      </w:r>
    </w:p>
    <w:p>
      <w:pPr>
        <w:spacing w:line="360" w:lineRule="auto"/>
        <w:ind w:firstLine="480" w:firstLineChars="200"/>
        <w:rPr>
          <w:rFonts w:hint="eastAsia" w:ascii="宋体" w:hAnsi="宋体" w:cs="宋体"/>
          <w:sz w:val="24"/>
        </w:rPr>
      </w:pPr>
      <w:r>
        <w:rPr>
          <w:rFonts w:hint="eastAsia" w:ascii="宋体" w:hAnsi="宋体" w:cs="宋体"/>
          <w:sz w:val="24"/>
        </w:rPr>
        <w:t>6  比选文件的递交：比选响应文件须密封后于比选截止时间前递至比选地点。逾期送达或密封不符合规定的比选响应文件恕不接受。</w:t>
      </w:r>
    </w:p>
    <w:p>
      <w:pPr>
        <w:spacing w:line="360" w:lineRule="auto"/>
        <w:ind w:firstLine="480" w:firstLineChars="200"/>
        <w:rPr>
          <w:rFonts w:hint="eastAsia" w:ascii="宋体" w:hAnsi="宋体" w:cs="宋体"/>
          <w:sz w:val="24"/>
        </w:rPr>
      </w:pPr>
      <w:r>
        <w:rPr>
          <w:rFonts w:hint="eastAsia" w:ascii="宋体" w:hAnsi="宋体" w:cs="宋体"/>
          <w:sz w:val="24"/>
        </w:rPr>
        <w:t>7  比选响应文件递交地点：北京市西城区西单北大街80号。</w:t>
      </w:r>
    </w:p>
    <w:p>
      <w:pPr>
        <w:spacing w:line="360" w:lineRule="auto"/>
        <w:ind w:firstLine="480" w:firstLineChars="200"/>
        <w:rPr>
          <w:rFonts w:hint="eastAsia" w:ascii="宋体" w:hAnsi="宋体" w:cs="宋体"/>
          <w:sz w:val="24"/>
        </w:rPr>
      </w:pPr>
      <w:r>
        <w:rPr>
          <w:rFonts w:hint="eastAsia" w:ascii="宋体" w:hAnsi="宋体" w:cs="宋体"/>
          <w:sz w:val="24"/>
        </w:rPr>
        <w:t>8  比选响应文件递交截止时间：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日（周</w:t>
      </w:r>
      <w:r>
        <w:rPr>
          <w:rFonts w:hint="eastAsia" w:ascii="宋体" w:hAnsi="宋体" w:cs="宋体"/>
          <w:sz w:val="24"/>
          <w:u w:val="single"/>
          <w:lang w:eastAsia="zh-CN"/>
        </w:rPr>
        <w:t>一</w:t>
      </w:r>
      <w:r>
        <w:rPr>
          <w:rFonts w:hint="eastAsia" w:ascii="宋体" w:hAnsi="宋体" w:cs="宋体"/>
          <w:sz w:val="24"/>
          <w:u w:val="single"/>
        </w:rPr>
        <w:t>）</w:t>
      </w:r>
      <w:r>
        <w:rPr>
          <w:rFonts w:hint="eastAsia" w:ascii="宋体" w:hAnsi="宋体" w:cs="宋体"/>
          <w:sz w:val="24"/>
          <w:u w:val="single"/>
          <w:lang w:val="en-US" w:eastAsia="zh-CN"/>
        </w:rPr>
        <w:t>17</w:t>
      </w:r>
      <w:r>
        <w:rPr>
          <w:rFonts w:ascii="宋体" w:hAnsi="宋体" w:cs="宋体"/>
          <w:sz w:val="24"/>
          <w:u w:val="single"/>
        </w:rPr>
        <w:t>:</w:t>
      </w:r>
      <w:r>
        <w:rPr>
          <w:rFonts w:hint="eastAsia" w:ascii="宋体" w:hAnsi="宋体" w:cs="宋体"/>
          <w:sz w:val="24"/>
          <w:u w:val="single"/>
        </w:rPr>
        <w:t>00时</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9  本公告通过“北京市中介服务网上交易平台”对外公开发布。</w:t>
      </w:r>
    </w:p>
    <w:p>
      <w:pPr>
        <w:spacing w:line="360" w:lineRule="auto"/>
        <w:ind w:firstLine="480" w:firstLineChars="200"/>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rPr>
        <w:t>北京市城市管理委员会</w:t>
      </w:r>
    </w:p>
    <w:p>
      <w:pPr>
        <w:spacing w:line="360" w:lineRule="auto"/>
        <w:jc w:val="righ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p>
    <w:p>
      <w:pPr>
        <w:spacing w:line="360" w:lineRule="auto"/>
        <w:jc w:val="right"/>
        <w:rPr>
          <w:rFonts w:hint="eastAsia" w:ascii="宋体" w:hAnsi="宋体" w:cs="宋体"/>
          <w:sz w:val="24"/>
        </w:rPr>
      </w:pPr>
    </w:p>
    <w:p>
      <w:pPr>
        <w:adjustRightInd w:val="0"/>
        <w:snapToGrid w:val="0"/>
        <w:spacing w:line="360" w:lineRule="auto"/>
        <w:ind w:firstLine="420" w:firstLineChars="200"/>
        <w:rPr>
          <w:rFonts w:hint="eastAsia" w:ascii="宋体" w:hAnsi="宋体" w:cs="宋体"/>
          <w:szCs w:val="21"/>
        </w:rPr>
      </w:pPr>
    </w:p>
    <w:p>
      <w:pPr>
        <w:pStyle w:val="3"/>
        <w:tabs>
          <w:tab w:val="left" w:pos="3955"/>
          <w:tab w:val="center" w:pos="4153"/>
        </w:tabs>
        <w:jc w:val="left"/>
        <w:rPr>
          <w:rFonts w:hint="eastAsia" w:ascii="Calibri" w:hAnsi="Calibri" w:eastAsia="楷体" w:cs="Times New Roman"/>
          <w:sz w:val="36"/>
          <w:szCs w:val="44"/>
        </w:rPr>
        <w:sectPr>
          <w:headerReference r:id="rId5" w:type="default"/>
          <w:footerReference r:id="rId6" w:type="default"/>
          <w:type w:val="continuous"/>
          <w:pgSz w:w="11906" w:h="16838"/>
          <w:pgMar w:top="1440" w:right="1800" w:bottom="1440" w:left="1800" w:header="851" w:footer="992" w:gutter="0"/>
          <w:cols w:space="720" w:num="1"/>
          <w:docGrid w:type="lines" w:linePitch="312" w:charSpace="0"/>
        </w:sectPr>
      </w:pPr>
      <w:bookmarkStart w:id="10" w:name="_Toc511132630"/>
      <w:bookmarkStart w:id="11" w:name="_Toc105496486"/>
    </w:p>
    <w:p>
      <w:pPr>
        <w:pStyle w:val="3"/>
        <w:rPr>
          <w:rFonts w:hint="eastAsia" w:ascii="宋体" w:hAnsi="宋体" w:eastAsia="宋体" w:cs="宋体"/>
          <w:sz w:val="24"/>
          <w:szCs w:val="24"/>
        </w:rPr>
      </w:pPr>
      <w:r>
        <w:rPr>
          <w:rFonts w:ascii="宋体" w:hAnsi="宋体" w:eastAsia="宋体" w:cs="宋体"/>
          <w:sz w:val="24"/>
          <w:szCs w:val="24"/>
        </w:rPr>
        <w:br w:type="page"/>
      </w:r>
      <w:r>
        <w:rPr>
          <w:rFonts w:hint="eastAsia" w:ascii="宋体" w:hAnsi="宋体" w:eastAsia="宋体" w:cs="宋体"/>
          <w:sz w:val="24"/>
          <w:szCs w:val="24"/>
        </w:rPr>
        <w:t>第二章  比选供应商须知</w:t>
      </w:r>
      <w:bookmarkEnd w:id="10"/>
      <w:bookmarkEnd w:id="11"/>
    </w:p>
    <w:p>
      <w:pPr>
        <w:jc w:val="center"/>
        <w:rPr>
          <w:rFonts w:hint="eastAsia" w:ascii="宋体" w:hAnsi="宋体" w:cs="宋体"/>
          <w:b/>
          <w:sz w:val="24"/>
        </w:rPr>
      </w:pPr>
      <w:bookmarkStart w:id="12" w:name="_Toc68963460"/>
      <w:r>
        <w:rPr>
          <w:rFonts w:hint="eastAsia" w:ascii="宋体" w:hAnsi="宋体" w:cs="宋体"/>
          <w:b/>
          <w:sz w:val="24"/>
        </w:rPr>
        <w:t>比选供应商须知前附表</w:t>
      </w:r>
      <w:bookmarkEnd w:id="12"/>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5"/>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noWrap w:val="0"/>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序号</w:t>
            </w:r>
          </w:p>
        </w:tc>
        <w:tc>
          <w:tcPr>
            <w:tcW w:w="985" w:type="dxa"/>
            <w:noWrap w:val="0"/>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条款号</w:t>
            </w:r>
          </w:p>
        </w:tc>
        <w:tc>
          <w:tcPr>
            <w:tcW w:w="8135" w:type="dxa"/>
            <w:noWrap w:val="0"/>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具 体 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8135" w:type="dxa"/>
            <w:noWrap w:val="0"/>
            <w:tcMar>
              <w:top w:w="57" w:type="dxa"/>
              <w:bottom w:w="57" w:type="dxa"/>
            </w:tcMar>
            <w:vAlign w:val="center"/>
          </w:tcPr>
          <w:p>
            <w:pPr>
              <w:pStyle w:val="2"/>
              <w:adjustRightInd w:val="0"/>
              <w:snapToGrid w:val="0"/>
              <w:jc w:val="left"/>
              <w:rPr>
                <w:rFonts w:hint="eastAsia" w:hAnsi="宋体" w:cs="宋体"/>
                <w:sz w:val="24"/>
                <w:szCs w:val="24"/>
              </w:rPr>
            </w:pPr>
            <w:r>
              <w:rPr>
                <w:rFonts w:hint="eastAsia" w:hAnsi="宋体" w:cs="宋体"/>
                <w:sz w:val="24"/>
                <w:szCs w:val="24"/>
              </w:rPr>
              <w:t>项目名称：</w:t>
            </w:r>
            <w:r>
              <w:rPr>
                <w:rFonts w:hint="eastAsia" w:ascii="宋体" w:hAnsi="宋体" w:eastAsia="宋体" w:cs="宋体"/>
                <w:b w:val="0"/>
                <w:sz w:val="24"/>
                <w:szCs w:val="24"/>
                <w:u w:val="single"/>
                <w:lang w:eastAsia="zh-CN"/>
              </w:rPr>
              <w:t>固体废弃物管理服务</w:t>
            </w:r>
            <w:r>
              <w:rPr>
                <w:rFonts w:hint="eastAsia" w:ascii="宋体" w:hAnsi="宋体" w:eastAsia="宋体" w:cs="宋体"/>
                <w:b w:val="0"/>
                <w:sz w:val="24"/>
                <w:szCs w:val="24"/>
                <w:u w:val="single"/>
                <w:lang w:val="en-US" w:eastAsia="zh-CN"/>
              </w:rPr>
              <w:t>-2025年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采购人：北京市城市管理委员会。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3</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8135" w:type="dxa"/>
            <w:noWrap w:val="0"/>
            <w:tcMar>
              <w:top w:w="57" w:type="dxa"/>
              <w:bottom w:w="57" w:type="dxa"/>
            </w:tcMar>
            <w:vAlign w:val="center"/>
          </w:tcPr>
          <w:p>
            <w:pPr>
              <w:tabs>
                <w:tab w:val="left" w:pos="7605"/>
              </w:tabs>
              <w:adjustRightInd w:val="0"/>
              <w:snapToGrid w:val="0"/>
              <w:spacing w:line="360" w:lineRule="auto"/>
              <w:rPr>
                <w:rFonts w:hint="eastAsia" w:ascii="宋体" w:hAnsi="宋体" w:cs="宋体"/>
                <w:sz w:val="24"/>
              </w:rPr>
            </w:pPr>
            <w:r>
              <w:rPr>
                <w:rFonts w:hint="eastAsia" w:ascii="宋体" w:hAnsi="宋体" w:cs="宋体"/>
                <w:sz w:val="24"/>
              </w:rPr>
              <w:t>计划服务期限为：</w:t>
            </w:r>
            <w:r>
              <w:rPr>
                <w:color w:val="000000"/>
                <w:sz w:val="24"/>
              </w:rPr>
              <w:t>本项目</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7</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7</w:t>
            </w:r>
            <w:r>
              <w:rPr>
                <w:color w:val="000000"/>
                <w:sz w:val="24"/>
              </w:rPr>
              <w:t>月。</w:t>
            </w:r>
            <w:r>
              <w:rPr>
                <w:rFonts w:hint="eastAsia"/>
                <w:color w:val="000000"/>
                <w:sz w:val="24"/>
              </w:rPr>
              <w:t>如若遇到重大不可抗力因素导致调查工作延误，需顺延调查时间，保证调查周期为12个月。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720" w:type="dxa"/>
            <w:noWrap w:val="0"/>
            <w:tcMar>
              <w:top w:w="57" w:type="dxa"/>
              <w:bottom w:w="57" w:type="dxa"/>
            </w:tcMar>
            <w:vAlign w:val="center"/>
          </w:tcPr>
          <w:p>
            <w:pPr>
              <w:pStyle w:val="69"/>
              <w:snapToGrid w:val="0"/>
              <w:jc w:val="center"/>
              <w:rPr>
                <w:rFonts w:hint="eastAsia" w:ascii="宋体" w:hAnsi="宋体" w:cs="宋体"/>
                <w:sz w:val="24"/>
                <w:szCs w:val="24"/>
              </w:rPr>
            </w:pPr>
            <w:r>
              <w:rPr>
                <w:rFonts w:hint="eastAsia" w:ascii="宋体" w:hAnsi="宋体" w:cs="宋体"/>
                <w:sz w:val="24"/>
                <w:szCs w:val="24"/>
              </w:rPr>
              <w:t>4</w:t>
            </w:r>
          </w:p>
        </w:tc>
        <w:tc>
          <w:tcPr>
            <w:tcW w:w="985" w:type="dxa"/>
            <w:noWrap w:val="0"/>
            <w:tcMar>
              <w:top w:w="57" w:type="dxa"/>
              <w:bottom w:w="57" w:type="dxa"/>
            </w:tcMar>
            <w:vAlign w:val="center"/>
          </w:tcPr>
          <w:p>
            <w:pPr>
              <w:pStyle w:val="69"/>
              <w:snapToGrid w:val="0"/>
              <w:jc w:val="center"/>
              <w:rPr>
                <w:rFonts w:hint="eastAsia" w:ascii="宋体" w:hAnsi="宋体" w:cs="宋体"/>
                <w:sz w:val="24"/>
                <w:szCs w:val="24"/>
              </w:rPr>
            </w:pPr>
            <w:r>
              <w:rPr>
                <w:rFonts w:hint="eastAsia" w:ascii="宋体" w:hAnsi="宋体" w:cs="宋体"/>
                <w:sz w:val="24"/>
                <w:szCs w:val="24"/>
              </w:rPr>
              <w:t>3.1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比选供应商的资格条件：</w:t>
            </w:r>
          </w:p>
          <w:p>
            <w:pPr>
              <w:pStyle w:val="2"/>
              <w:adjustRightInd w:val="0"/>
              <w:snapToGrid w:val="0"/>
              <w:rPr>
                <w:rFonts w:hint="eastAsia" w:hAnsi="宋体" w:cs="宋体"/>
                <w:sz w:val="24"/>
                <w:szCs w:val="24"/>
              </w:rPr>
            </w:pPr>
            <w:r>
              <w:rPr>
                <w:rFonts w:hint="eastAsia" w:hAnsi="宋体" w:cs="宋体"/>
                <w:sz w:val="24"/>
                <w:szCs w:val="24"/>
              </w:rPr>
              <w:t>1  符合《中华人民共和国政府采购法》第二十二条规定</w:t>
            </w:r>
            <w:r>
              <w:rPr>
                <w:rFonts w:hint="eastAsia" w:ascii="宋体" w:hAnsi="宋体" w:cs="宋体"/>
                <w:sz w:val="24"/>
              </w:rPr>
              <w:t>、《政府购买服务管理办法》（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w:t>
            </w:r>
            <w:r>
              <w:rPr>
                <w:rFonts w:hint="eastAsia" w:hAnsi="宋体" w:cs="宋体"/>
                <w:sz w:val="24"/>
                <w:szCs w:val="24"/>
              </w:rPr>
              <w:t>，承接政府购买服务的主体，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pStyle w:val="2"/>
              <w:adjustRightInd w:val="0"/>
              <w:snapToGrid w:val="0"/>
              <w:rPr>
                <w:rFonts w:hint="eastAsia" w:hAnsi="宋体" w:cs="宋体"/>
                <w:sz w:val="24"/>
                <w:szCs w:val="24"/>
              </w:rPr>
            </w:pPr>
            <w:r>
              <w:rPr>
                <w:rFonts w:hint="eastAsia" w:hAnsi="宋体" w:cs="宋体"/>
                <w:sz w:val="24"/>
                <w:szCs w:val="24"/>
              </w:rPr>
              <w:t>2  在中华人民共和国境内注册，具有独立法人资格、能够独立承担民事责任，良好的资信和完成合同约定任务的专业技术能力，包括出具具有法律效力的成果文件能力等；</w:t>
            </w:r>
          </w:p>
          <w:p>
            <w:pPr>
              <w:pStyle w:val="2"/>
              <w:adjustRightInd w:val="0"/>
              <w:snapToGrid w:val="0"/>
              <w:rPr>
                <w:rFonts w:hint="eastAsia" w:hAnsi="宋体" w:cs="宋体"/>
                <w:sz w:val="24"/>
                <w:szCs w:val="24"/>
              </w:rPr>
            </w:pPr>
            <w:r>
              <w:rPr>
                <w:rFonts w:hint="eastAsia" w:hAnsi="宋体" w:cs="宋体"/>
                <w:sz w:val="24"/>
                <w:szCs w:val="24"/>
              </w:rPr>
              <w:t>3  遵守国家有关法律、法规、规章和北京市招投标及政府采购有关的规定，具有良好的商业信誉和健全的财务会计制度；</w:t>
            </w:r>
          </w:p>
          <w:p>
            <w:pPr>
              <w:pStyle w:val="2"/>
              <w:adjustRightInd w:val="0"/>
              <w:snapToGrid w:val="0"/>
              <w:rPr>
                <w:rFonts w:hint="eastAsia" w:hAnsi="宋体" w:cs="宋体"/>
                <w:sz w:val="24"/>
                <w:szCs w:val="24"/>
              </w:rPr>
            </w:pPr>
            <w:r>
              <w:rPr>
                <w:rFonts w:hint="eastAsia" w:hAnsi="宋体" w:cs="宋体"/>
                <w:sz w:val="24"/>
                <w:szCs w:val="24"/>
              </w:rPr>
              <w:t>4  在法律上和财务上独立、合法运作并独立于采购人和采购代理机构之外；</w:t>
            </w:r>
          </w:p>
          <w:p>
            <w:pPr>
              <w:pStyle w:val="2"/>
              <w:adjustRightInd w:val="0"/>
              <w:snapToGrid w:val="0"/>
              <w:rPr>
                <w:rFonts w:hint="eastAsia" w:hAnsi="宋体" w:cs="宋体"/>
                <w:sz w:val="24"/>
                <w:szCs w:val="24"/>
              </w:rPr>
            </w:pPr>
            <w:r>
              <w:rPr>
                <w:rFonts w:hint="eastAsia" w:hAnsi="宋体" w:cs="宋体"/>
                <w:sz w:val="24"/>
                <w:szCs w:val="24"/>
              </w:rPr>
              <w:t>5  参加政府采购活动近三年内，在经营活动中没有重大违法记录；</w:t>
            </w:r>
          </w:p>
          <w:p>
            <w:pPr>
              <w:pStyle w:val="2"/>
              <w:adjustRightInd w:val="0"/>
              <w:snapToGrid w:val="0"/>
              <w:rPr>
                <w:rFonts w:hint="eastAsia" w:hAnsi="宋体" w:cs="宋体"/>
                <w:sz w:val="24"/>
                <w:szCs w:val="24"/>
              </w:rPr>
            </w:pPr>
            <w:r>
              <w:rPr>
                <w:rFonts w:hint="eastAsia" w:hAnsi="宋体" w:cs="宋体"/>
                <w:sz w:val="24"/>
                <w:szCs w:val="24"/>
              </w:rPr>
              <w:t>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pStyle w:val="2"/>
              <w:adjustRightInd w:val="0"/>
              <w:snapToGrid w:val="0"/>
              <w:rPr>
                <w:rFonts w:hint="eastAsia" w:hAnsi="宋体" w:cs="宋体"/>
                <w:sz w:val="24"/>
                <w:szCs w:val="24"/>
              </w:rPr>
            </w:pPr>
            <w:r>
              <w:rPr>
                <w:rFonts w:hint="eastAsia" w:hAnsi="宋体" w:cs="宋体"/>
                <w:sz w:val="24"/>
                <w:szCs w:val="24"/>
              </w:rPr>
              <w:t>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w:t>
            </w:r>
          </w:p>
          <w:p>
            <w:pPr>
              <w:pStyle w:val="2"/>
              <w:adjustRightInd w:val="0"/>
              <w:snapToGrid w:val="0"/>
              <w:rPr>
                <w:rFonts w:hint="eastAsia" w:hAnsi="宋体" w:cs="宋体"/>
                <w:sz w:val="24"/>
                <w:szCs w:val="24"/>
              </w:rPr>
            </w:pPr>
            <w:r>
              <w:rPr>
                <w:rFonts w:hint="eastAsia" w:hAnsi="宋体" w:cs="宋体"/>
                <w:sz w:val="24"/>
                <w:szCs w:val="24"/>
              </w:rPr>
              <w:t>8  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现场考察：供应商自行踏勘现场。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6</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比选文件澄清截止时间：比选响应文件递交截止时间3日之前。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比选有效期：自比选响应文件递交截止之日起算90日历日。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8</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12.1</w:t>
            </w:r>
          </w:p>
        </w:tc>
        <w:tc>
          <w:tcPr>
            <w:tcW w:w="8135" w:type="dxa"/>
            <w:noWrap w:val="0"/>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9</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比选响应文件的份数：正本</w:t>
            </w:r>
            <w:r>
              <w:rPr>
                <w:rFonts w:hint="eastAsia" w:hAnsi="宋体" w:cs="宋体"/>
                <w:sz w:val="24"/>
                <w:szCs w:val="24"/>
                <w:u w:val="single"/>
              </w:rPr>
              <w:t>1</w:t>
            </w:r>
            <w:r>
              <w:rPr>
                <w:rFonts w:hint="eastAsia" w:hAnsi="宋体" w:cs="宋体"/>
                <w:sz w:val="24"/>
                <w:szCs w:val="24"/>
              </w:rPr>
              <w:t>份，副本</w:t>
            </w:r>
            <w:r>
              <w:rPr>
                <w:rFonts w:hint="eastAsia" w:hAnsi="宋体" w:cs="宋体"/>
                <w:sz w:val="24"/>
                <w:szCs w:val="24"/>
                <w:u w:val="single"/>
              </w:rPr>
              <w:t>4</w:t>
            </w:r>
            <w:r>
              <w:rPr>
                <w:rFonts w:hint="eastAsia" w:hAnsi="宋体" w:cs="宋体"/>
                <w:sz w:val="24"/>
                <w:szCs w:val="24"/>
              </w:rPr>
              <w:t>份，电子文档</w:t>
            </w:r>
            <w:r>
              <w:rPr>
                <w:rFonts w:hAnsi="宋体" w:cs="宋体"/>
                <w:sz w:val="24"/>
                <w:szCs w:val="24"/>
                <w:u w:val="single"/>
              </w:rPr>
              <w:t>1</w:t>
            </w:r>
            <w:r>
              <w:rPr>
                <w:rFonts w:hint="eastAsia" w:hAnsi="宋体" w:cs="宋体"/>
                <w:sz w:val="24"/>
                <w:szCs w:val="24"/>
              </w:rPr>
              <w:t>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10</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15.1</w:t>
            </w:r>
          </w:p>
        </w:tc>
        <w:tc>
          <w:tcPr>
            <w:tcW w:w="8135" w:type="dxa"/>
            <w:noWrap w:val="0"/>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比选响应文件递交截止时间：</w:t>
            </w:r>
            <w:r>
              <w:rPr>
                <w:rFonts w:hint="eastAsia" w:ascii="宋体" w:hAnsi="宋体" w:cs="宋体"/>
                <w:b/>
                <w:sz w:val="24"/>
                <w:u w:val="single"/>
              </w:rPr>
              <w:t>202</w:t>
            </w:r>
            <w:r>
              <w:rPr>
                <w:rFonts w:hint="eastAsia" w:ascii="宋体" w:hAnsi="宋体" w:cs="宋体"/>
                <w:b/>
                <w:sz w:val="24"/>
                <w:u w:val="single"/>
                <w:lang w:val="en-US" w:eastAsia="zh-CN"/>
              </w:rPr>
              <w:t>5</w:t>
            </w:r>
            <w:r>
              <w:rPr>
                <w:rFonts w:hint="eastAsia" w:ascii="宋体" w:hAnsi="宋体" w:cs="宋体"/>
                <w:b/>
                <w:sz w:val="24"/>
              </w:rPr>
              <w:t>年</w:t>
            </w:r>
            <w:r>
              <w:rPr>
                <w:rFonts w:hint="eastAsia" w:ascii="宋体" w:hAnsi="宋体" w:cs="宋体"/>
                <w:b/>
                <w:sz w:val="24"/>
                <w:u w:val="single"/>
                <w:lang w:val="en-US" w:eastAsia="zh-CN"/>
              </w:rPr>
              <w:t>6</w:t>
            </w:r>
            <w:r>
              <w:rPr>
                <w:rFonts w:hint="eastAsia" w:ascii="宋体" w:hAnsi="宋体" w:cs="宋体"/>
                <w:b/>
                <w:sz w:val="24"/>
              </w:rPr>
              <w:t>月</w:t>
            </w:r>
            <w:r>
              <w:rPr>
                <w:rFonts w:hint="eastAsia" w:ascii="宋体" w:hAnsi="宋体" w:cs="宋体"/>
                <w:b/>
                <w:sz w:val="24"/>
                <w:u w:val="single"/>
                <w:lang w:val="en-US" w:eastAsia="zh-CN"/>
              </w:rPr>
              <w:t>30</w:t>
            </w:r>
            <w:r>
              <w:rPr>
                <w:rFonts w:hint="eastAsia" w:ascii="宋体" w:hAnsi="宋体" w:cs="宋体"/>
                <w:b/>
                <w:sz w:val="24"/>
              </w:rPr>
              <w:t>日</w:t>
            </w:r>
            <w:r>
              <w:rPr>
                <w:rFonts w:hint="eastAsia" w:ascii="宋体" w:hAnsi="宋体" w:cs="宋体"/>
                <w:b/>
                <w:sz w:val="24"/>
                <w:u w:val="single"/>
                <w:lang w:val="en-US" w:eastAsia="zh-CN"/>
              </w:rPr>
              <w:t>17</w:t>
            </w:r>
            <w:r>
              <w:rPr>
                <w:rFonts w:hint="eastAsia" w:ascii="宋体" w:hAnsi="宋体" w:cs="宋体"/>
                <w:b/>
                <w:bCs/>
                <w:sz w:val="24"/>
                <w:u w:val="single"/>
              </w:rPr>
              <w:t>:00</w:t>
            </w:r>
            <w:r>
              <w:rPr>
                <w:rFonts w:hint="eastAsia" w:ascii="宋体" w:hAnsi="宋体" w:cs="宋体"/>
                <w:b/>
                <w:bCs/>
                <w:sz w:val="24"/>
              </w:rPr>
              <w:t>时</w:t>
            </w:r>
            <w:r>
              <w:rPr>
                <w:rFonts w:hint="eastAsia" w:ascii="宋体" w:hAnsi="宋体" w:cs="宋体"/>
                <w:color w:val="000000"/>
                <w:sz w:val="24"/>
              </w:rPr>
              <w:t>（北京时间）；</w:t>
            </w:r>
          </w:p>
          <w:p>
            <w:pPr>
              <w:adjustRightInd w:val="0"/>
              <w:snapToGrid w:val="0"/>
              <w:rPr>
                <w:rFonts w:ascii="宋体" w:hAnsi="宋体" w:cs="宋体"/>
                <w:sz w:val="24"/>
              </w:rPr>
            </w:pPr>
            <w:r>
              <w:rPr>
                <w:rFonts w:hint="eastAsia" w:ascii="宋体" w:hAnsi="宋体" w:cs="宋体"/>
                <w:sz w:val="24"/>
              </w:rPr>
              <w:t>比选响应文件递交地点：北京市西城区西单北大街80号。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18.1</w:t>
            </w:r>
          </w:p>
        </w:tc>
        <w:tc>
          <w:tcPr>
            <w:tcW w:w="8135" w:type="dxa"/>
            <w:noWrap w:val="0"/>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比选地点：北京市西城区西单北大街80号。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23.1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评审办法：综合评分法。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24</w:t>
            </w:r>
          </w:p>
        </w:tc>
        <w:tc>
          <w:tcPr>
            <w:tcW w:w="8135" w:type="dxa"/>
            <w:noWrap w:val="0"/>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25</w:t>
            </w:r>
          </w:p>
        </w:tc>
        <w:tc>
          <w:tcPr>
            <w:tcW w:w="8135" w:type="dxa"/>
            <w:noWrap w:val="0"/>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废标条款。</w:t>
            </w:r>
          </w:p>
        </w:tc>
      </w:tr>
    </w:tbl>
    <w:p>
      <w:pPr>
        <w:spacing w:line="360" w:lineRule="auto"/>
        <w:rPr>
          <w:rFonts w:hint="eastAsia" w:ascii="宋体" w:hAnsi="宋体" w:cs="宋体"/>
          <w:color w:val="000000"/>
        </w:rPr>
      </w:pPr>
      <w:bookmarkStart w:id="13" w:name="_Toc68963461"/>
      <w:r>
        <w:rPr>
          <w:rFonts w:hint="eastAsia" w:ascii="宋体" w:hAnsi="宋体" w:cs="宋体"/>
          <w:color w:val="000000"/>
        </w:rPr>
        <w:t xml:space="preserve">       </w:t>
      </w:r>
    </w:p>
    <w:p>
      <w:pPr>
        <w:pStyle w:val="4"/>
        <w:adjustRightInd/>
        <w:snapToGrid/>
        <w:spacing w:line="240" w:lineRule="atLeast"/>
        <w:ind w:firstLine="481" w:firstLineChars="200"/>
        <w:jc w:val="both"/>
        <w:rPr>
          <w:rFonts w:hint="eastAsia" w:ascii="宋体" w:hAnsi="宋体" w:eastAsia="宋体" w:cs="宋体"/>
          <w:color w:val="000000"/>
          <w:szCs w:val="24"/>
        </w:rPr>
      </w:pPr>
      <w:bookmarkStart w:id="14" w:name="_Toc511132631"/>
      <w:bookmarkStart w:id="15" w:name="_Toc105496487"/>
      <w:r>
        <w:rPr>
          <w:rFonts w:hint="eastAsia" w:ascii="宋体" w:hAnsi="宋体" w:eastAsia="宋体" w:cs="宋体"/>
          <w:color w:val="000000"/>
          <w:szCs w:val="24"/>
        </w:rPr>
        <w:t>一  总则</w:t>
      </w:r>
      <w:bookmarkEnd w:id="13"/>
      <w:bookmarkEnd w:id="14"/>
      <w:bookmarkEnd w:id="15"/>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  概述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适用范围：本比选文件仅适用于第一章“比选邀请书”中所述项目。</w:t>
      </w:r>
    </w:p>
    <w:p>
      <w:pPr>
        <w:spacing w:line="360" w:lineRule="auto"/>
        <w:ind w:firstLine="480" w:firstLineChars="200"/>
        <w:rPr>
          <w:rFonts w:hint="eastAsia" w:ascii="宋体" w:hAnsi="宋体" w:cs="宋体"/>
          <w:sz w:val="24"/>
        </w:rPr>
      </w:pPr>
      <w:r>
        <w:rPr>
          <w:rFonts w:hint="eastAsia" w:ascii="宋体" w:hAnsi="宋体" w:cs="宋体"/>
          <w:color w:val="000000"/>
          <w:sz w:val="24"/>
        </w:rPr>
        <w:t>1.2  定义：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本项目：系指北京市可回收物运行情况调查服务。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采购人：系指北京市城市管理委员会。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比选供应商系指响应采购人要求，向采购人提交比选响应文件的服务组织。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本项目将按照公开、公平、公正的原则，通过比选择优选定服务单位。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1.4  </w:t>
      </w:r>
      <w:r>
        <w:rPr>
          <w:rFonts w:hint="eastAsia" w:ascii="宋体" w:hAnsi="宋体" w:cs="宋体"/>
          <w:sz w:val="24"/>
        </w:rPr>
        <w:t>计划服务期限为：</w:t>
      </w:r>
      <w:r>
        <w:rPr>
          <w:rFonts w:hint="eastAsia" w:ascii="宋体" w:hAnsi="宋体" w:cs="宋体"/>
          <w:color w:val="000000"/>
          <w:sz w:val="24"/>
        </w:rPr>
        <w:t xml:space="preserve"> </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7</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7</w:t>
      </w:r>
      <w:r>
        <w:rPr>
          <w:color w:val="000000"/>
          <w:sz w:val="24"/>
        </w:rPr>
        <w:t>月。</w:t>
      </w:r>
      <w:r>
        <w:rPr>
          <w:rFonts w:hint="eastAsia"/>
          <w:color w:val="000000"/>
          <w:sz w:val="24"/>
        </w:rPr>
        <w:t>如若遇到重大不可抗力因素导致调查工作延误，需顺延调查时间，保证调查周期为12个月。</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  比选范围</w:t>
      </w:r>
    </w:p>
    <w:p>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 xml:space="preserve">2.1  </w:t>
      </w:r>
      <w:r>
        <w:rPr>
          <w:rFonts w:hint="eastAsia" w:ascii="宋体" w:hAnsi="宋体" w:cs="宋体"/>
          <w:color w:val="000000"/>
          <w:sz w:val="24"/>
        </w:rPr>
        <w:t xml:space="preserve">详见第四章 </w:t>
      </w:r>
      <w:r>
        <w:rPr>
          <w:rFonts w:hint="eastAsia" w:ascii="宋体" w:hAnsi="宋体" w:cs="宋体"/>
          <w:bCs/>
          <w:color w:val="000000"/>
          <w:kern w:val="44"/>
          <w:sz w:val="24"/>
        </w:rPr>
        <w:t>技术服务需求及说明</w:t>
      </w:r>
    </w:p>
    <w:p>
      <w:pPr>
        <w:spacing w:line="360" w:lineRule="auto"/>
        <w:ind w:firstLine="481" w:firstLineChars="200"/>
        <w:rPr>
          <w:rFonts w:hint="eastAsia" w:ascii="宋体" w:hAnsi="宋体" w:cs="宋体"/>
          <w:b/>
          <w:bCs/>
          <w:color w:val="000000"/>
          <w:sz w:val="24"/>
        </w:rPr>
      </w:pPr>
      <w:bookmarkStart w:id="16" w:name="_Toc23613344"/>
      <w:r>
        <w:rPr>
          <w:rFonts w:hint="eastAsia" w:ascii="宋体" w:hAnsi="宋体" w:cs="宋体"/>
          <w:b/>
          <w:bCs/>
          <w:color w:val="000000"/>
          <w:sz w:val="24"/>
        </w:rPr>
        <w:t>3  比选供应商的资格</w:t>
      </w:r>
      <w:bookmarkEnd w:id="1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参加本次服务项目比选的比选供应商必须满足本须知前附表中第</w:t>
      </w:r>
      <w:r>
        <w:rPr>
          <w:rFonts w:hint="eastAsia" w:ascii="宋体" w:hAnsi="宋体" w:cs="宋体"/>
          <w:color w:val="000000"/>
          <w:sz w:val="24"/>
          <w:u w:val="single"/>
        </w:rPr>
        <w:t>4</w:t>
      </w:r>
      <w:r>
        <w:rPr>
          <w:rFonts w:hint="eastAsia" w:ascii="宋体" w:hAnsi="宋体" w:cs="宋体"/>
          <w:color w:val="000000"/>
          <w:sz w:val="24"/>
        </w:rPr>
        <w:t>项的资格要求。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比选供应商应遵守国家法律法规及采购人相关规定。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本项目比选不接受联合体形式的比选。</w:t>
      </w:r>
    </w:p>
    <w:p>
      <w:pPr>
        <w:spacing w:line="360" w:lineRule="auto"/>
        <w:ind w:firstLine="481" w:firstLineChars="200"/>
        <w:rPr>
          <w:rFonts w:hint="eastAsia" w:ascii="宋体" w:hAnsi="宋体" w:cs="宋体"/>
          <w:b/>
          <w:bCs/>
          <w:color w:val="000000"/>
          <w:sz w:val="24"/>
        </w:rPr>
      </w:pPr>
      <w:bookmarkStart w:id="17" w:name="_Toc23613345"/>
      <w:r>
        <w:rPr>
          <w:rFonts w:hint="eastAsia" w:ascii="宋体" w:hAnsi="宋体" w:cs="宋体"/>
          <w:b/>
          <w:bCs/>
          <w:color w:val="000000"/>
          <w:sz w:val="24"/>
        </w:rPr>
        <w:t>4  比选费用</w:t>
      </w:r>
      <w:bookmarkEnd w:id="1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比选供应商在比选过程中发生的一切费用，无论成交与否，均由比选供应商自负。</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5  现场考察（本项目不适用）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5.1  比选供应商应按照本须知前附表中第5项规定的时间和地点</w:t>
      </w:r>
      <w:r>
        <w:rPr>
          <w:rFonts w:hint="eastAsia" w:ascii="宋体" w:hAnsi="宋体" w:cs="宋体"/>
          <w:color w:val="000000"/>
          <w:sz w:val="24"/>
          <w:lang w:val="en-US" w:eastAsia="zh-CN"/>
        </w:rPr>
        <w:t>自行考察</w:t>
      </w:r>
      <w:r>
        <w:rPr>
          <w:rFonts w:hint="eastAsia" w:ascii="宋体" w:hAnsi="宋体" w:cs="宋体"/>
          <w:color w:val="000000"/>
          <w:sz w:val="24"/>
        </w:rPr>
        <w:t>，了解项目情况，自行负责、获得有关编制比选响应文件和签订服务合同所必需的一切资料。</w:t>
      </w:r>
    </w:p>
    <w:p>
      <w:pPr>
        <w:spacing w:line="360" w:lineRule="auto"/>
        <w:ind w:firstLine="480" w:firstLineChars="200"/>
        <w:rPr>
          <w:rFonts w:hint="eastAsia" w:ascii="宋体" w:hAnsi="宋体" w:cs="宋体"/>
          <w:color w:val="000000"/>
          <w:sz w:val="24"/>
        </w:rPr>
      </w:pPr>
      <w:r>
        <w:rPr>
          <w:rFonts w:hint="eastAsia" w:ascii="宋体" w:hAnsi="宋体" w:eastAsia="楷体" w:cs="宋体"/>
          <w:color w:val="000000"/>
          <w:sz w:val="24"/>
          <w:szCs w:val="32"/>
        </w:rPr>
        <w:t xml:space="preserve">5.2  </w:t>
      </w:r>
      <w:r>
        <w:rPr>
          <w:rFonts w:hint="eastAsia" w:ascii="宋体" w:hAnsi="宋体" w:cs="宋体"/>
          <w:color w:val="000000"/>
          <w:sz w:val="24"/>
        </w:rPr>
        <w:t>比选供应商考察现场以后，将被认为已经对项目的总体情况、服务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考察现场过程中，比选供应商及其代表可能会对其自身或对第三方造成的人身伤害、财产损失或损坏，以及其他任何原因造成的损失、损坏或费用，必须由比选供应商及其</w:t>
      </w:r>
      <w:bookmarkStart w:id="132" w:name="_GoBack"/>
      <w:bookmarkEnd w:id="132"/>
      <w:r>
        <w:rPr>
          <w:rFonts w:hint="eastAsia" w:ascii="宋体" w:hAnsi="宋体" w:cs="宋体"/>
          <w:color w:val="000000"/>
          <w:sz w:val="24"/>
        </w:rPr>
        <w:t>代表自行承担。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5.4  在现场考察过程中，比选供应商只许委派1-2名代表参加，并严格遵守比选方提出的纪律要求。</w:t>
      </w:r>
    </w:p>
    <w:p>
      <w:pPr>
        <w:spacing w:line="360" w:lineRule="auto"/>
        <w:ind w:firstLine="420" w:firstLineChars="200"/>
        <w:rPr>
          <w:rFonts w:hint="eastAsia" w:ascii="宋体" w:hAnsi="宋体" w:cs="宋体"/>
          <w:color w:val="000000"/>
        </w:rPr>
      </w:pPr>
      <w:bookmarkStart w:id="18" w:name="_Toc68963462"/>
      <w:bookmarkStart w:id="19" w:name="_Toc511132632"/>
      <w:bookmarkStart w:id="20" w:name="_Toc33340836"/>
      <w:bookmarkStart w:id="21" w:name="_Toc105496488"/>
      <w:bookmarkStart w:id="22" w:name="_Toc24083811"/>
      <w:bookmarkStart w:id="23" w:name="_Toc23613348"/>
      <w:bookmarkStart w:id="24" w:name="_Toc24455231"/>
      <w:r>
        <w:rPr>
          <w:rFonts w:hint="eastAsia" w:ascii="宋体" w:hAnsi="宋体" w:cs="宋体"/>
          <w:color w:val="000000"/>
        </w:rPr>
        <w:t>二、比选文件</w:t>
      </w:r>
      <w:bookmarkEnd w:id="18"/>
      <w:bookmarkEnd w:id="19"/>
      <w:bookmarkEnd w:id="20"/>
      <w:bookmarkEnd w:id="21"/>
      <w:bookmarkEnd w:id="22"/>
      <w:bookmarkEnd w:id="23"/>
      <w:bookmarkEnd w:id="24"/>
    </w:p>
    <w:p>
      <w:pPr>
        <w:spacing w:line="360" w:lineRule="auto"/>
        <w:ind w:firstLine="481" w:firstLineChars="200"/>
        <w:rPr>
          <w:rFonts w:hint="eastAsia" w:ascii="宋体" w:hAnsi="宋体" w:cs="宋体"/>
          <w:b/>
          <w:bCs/>
          <w:color w:val="000000"/>
          <w:sz w:val="24"/>
        </w:rPr>
      </w:pPr>
      <w:bookmarkStart w:id="25" w:name="_Toc23613349"/>
      <w:r>
        <w:rPr>
          <w:rFonts w:hint="eastAsia" w:ascii="宋体" w:hAnsi="宋体" w:cs="宋体"/>
          <w:b/>
          <w:bCs/>
          <w:color w:val="000000"/>
          <w:sz w:val="24"/>
        </w:rPr>
        <w:t>6  比选文件的内容</w:t>
      </w:r>
      <w:bookmarkEnd w:id="2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比选文件除本款下述内容外，还包括所有按照本须知第</w:t>
      </w:r>
      <w:r>
        <w:rPr>
          <w:rFonts w:hint="eastAsia" w:ascii="宋体" w:hAnsi="宋体" w:cs="宋体"/>
          <w:color w:val="000000"/>
          <w:sz w:val="24"/>
          <w:u w:val="single"/>
        </w:rPr>
        <w:t>7.1</w:t>
      </w:r>
      <w:r>
        <w:rPr>
          <w:rFonts w:hint="eastAsia" w:ascii="宋体" w:hAnsi="宋体" w:cs="宋体"/>
          <w:color w:val="000000"/>
          <w:sz w:val="24"/>
        </w:rPr>
        <w:t>款和第</w:t>
      </w:r>
      <w:r>
        <w:rPr>
          <w:rFonts w:hint="eastAsia" w:ascii="宋体" w:hAnsi="宋体" w:cs="宋体"/>
          <w:color w:val="000000"/>
          <w:sz w:val="24"/>
          <w:u w:val="single"/>
        </w:rPr>
        <w:t>8</w:t>
      </w:r>
      <w:r>
        <w:rPr>
          <w:rFonts w:hint="eastAsia" w:ascii="宋体" w:hAnsi="宋体" w:cs="宋体"/>
          <w:color w:val="000000"/>
          <w:sz w:val="24"/>
        </w:rPr>
        <w:t>条发出的澄清/修改补充文件。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第一章  比选邀请书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第二章  比选供应商须知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第三章  合同条件、格式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第五章  比选响应文件格式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第六章  评审办法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  比选供应商应仔细阅读比选文件，并按照比选文件的规定格式编制比选响应文件，凡与比选文件的规定有重大不符的比选响应文件，将被视为无效比选，不予进入详细评审。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6.3  比选供应商应认真检查比选文件是否完备，如有缺页或附件不全等情况发生，应在收到比选文件后24小时内及时告知代理机构予以补齐，否则后果自负。</w:t>
      </w:r>
    </w:p>
    <w:p>
      <w:pPr>
        <w:spacing w:line="360" w:lineRule="auto"/>
        <w:ind w:firstLine="481" w:firstLineChars="200"/>
        <w:rPr>
          <w:rFonts w:hint="eastAsia" w:ascii="宋体" w:hAnsi="宋体" w:cs="宋体"/>
          <w:b/>
          <w:bCs/>
          <w:color w:val="000000"/>
          <w:sz w:val="24"/>
        </w:rPr>
      </w:pPr>
      <w:bookmarkStart w:id="26" w:name="_Toc23613350"/>
      <w:r>
        <w:rPr>
          <w:rFonts w:hint="eastAsia" w:ascii="宋体" w:hAnsi="宋体" w:cs="宋体"/>
          <w:b/>
          <w:bCs/>
          <w:color w:val="000000"/>
          <w:sz w:val="24"/>
        </w:rPr>
        <w:t>7  比选文件的澄清和解答</w:t>
      </w:r>
      <w:bookmarkEnd w:id="2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比选供应商可以在本须知前附表中第6项规定的时间之前，对比选文件的有关事宜以书面形式（加盖法人公章）提请采购人予以澄清，采购人将通过书面形式向所有获得比选文件的比选供应商进行澄清（答复中不注明问题的来源）。</w:t>
      </w:r>
    </w:p>
    <w:p>
      <w:pPr>
        <w:spacing w:line="360" w:lineRule="auto"/>
        <w:ind w:firstLine="481" w:firstLineChars="200"/>
        <w:rPr>
          <w:rFonts w:hint="eastAsia" w:ascii="宋体" w:hAnsi="宋体" w:cs="宋体"/>
          <w:b/>
          <w:bCs/>
          <w:color w:val="000000"/>
          <w:sz w:val="24"/>
        </w:rPr>
      </w:pPr>
      <w:bookmarkStart w:id="27" w:name="_Toc23613351"/>
      <w:r>
        <w:rPr>
          <w:rFonts w:hint="eastAsia" w:ascii="宋体" w:hAnsi="宋体" w:cs="宋体"/>
          <w:b/>
          <w:bCs/>
          <w:color w:val="000000"/>
          <w:sz w:val="24"/>
        </w:rPr>
        <w:t>8  比选文件的修改</w:t>
      </w:r>
      <w:bookmarkEnd w:id="2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采购人发出的补充通知若前后存在不一致，以后发者为准。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8.3  为便于比选供应商在合理的时间内，按照澄清/补充通知提出的要求编制比选响应文件，采购人可以在适当的时候延长比选截止期，采购人和比选供应商相应的权利与义务亦应随之延长。</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8.4  比选供应商应在收到澄清/修改补充通知后24小时内以书面形式（加盖法人公章）向采购人确认收悉。</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28" w:name="_Toc24083812"/>
      <w:bookmarkStart w:id="29" w:name="_Toc33340837"/>
      <w:bookmarkStart w:id="30" w:name="_Toc511132633"/>
      <w:bookmarkStart w:id="31" w:name="_Toc24455232"/>
      <w:bookmarkStart w:id="32" w:name="_Toc68963463"/>
      <w:bookmarkStart w:id="33" w:name="_Toc105496489"/>
      <w:bookmarkStart w:id="34" w:name="_Toc23613352"/>
      <w:r>
        <w:rPr>
          <w:rFonts w:hint="eastAsia" w:ascii="宋体" w:hAnsi="宋体" w:eastAsia="宋体" w:cs="宋体"/>
          <w:color w:val="000000"/>
          <w:szCs w:val="24"/>
        </w:rPr>
        <w:t>三、比选响应文件的编制</w:t>
      </w:r>
      <w:bookmarkEnd w:id="28"/>
      <w:bookmarkEnd w:id="29"/>
      <w:bookmarkEnd w:id="30"/>
      <w:bookmarkEnd w:id="31"/>
      <w:bookmarkEnd w:id="32"/>
      <w:bookmarkEnd w:id="33"/>
      <w:bookmarkEnd w:id="34"/>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9  比选响应文件的内容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比选供应商编写的比选响应文件，应至少包括但不限于下列各项内容：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9.1.1  比选函</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9.1.2  法定代表人授权委托书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9.1.3  比选供应商基本情况表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9.1.4  服务项目人员构成</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9.1.5  拟派负责人简历表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9.1.6  针对该项目派遣的人员情况汇总表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9.1.7  业绩表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9.1.8  资质证明文件：</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 法人营业执照（副本）</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 税务登记证书</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 组织机构代码证（副本、具有有效期）</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 法定代表人授权书（格式）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 法人授权代表身份证</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 比选供应商的资格声明（格式）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 比选文件要求的其他资格证明文件</w:t>
      </w:r>
    </w:p>
    <w:p>
      <w:pPr>
        <w:tabs>
          <w:tab w:val="left" w:pos="540"/>
          <w:tab w:val="left" w:pos="644"/>
          <w:tab w:val="left" w:pos="108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w:t>
      </w:r>
    </w:p>
    <w:p>
      <w:pPr>
        <w:pStyle w:val="2"/>
        <w:tabs>
          <w:tab w:val="left" w:pos="5580"/>
        </w:tabs>
        <w:spacing w:line="360" w:lineRule="auto"/>
        <w:ind w:firstLine="480" w:firstLineChars="200"/>
        <w:rPr>
          <w:rFonts w:hint="eastAsia" w:hAnsi="宋体" w:cs="宋体"/>
          <w:color w:val="000000"/>
          <w:sz w:val="24"/>
          <w:szCs w:val="24"/>
        </w:rPr>
      </w:pPr>
      <w:r>
        <w:rPr>
          <w:rFonts w:hint="eastAsia" w:hAnsi="宋体" w:cs="宋体"/>
          <w:color w:val="000000"/>
          <w:sz w:val="24"/>
          <w:szCs w:val="24"/>
        </w:rPr>
        <w:t>9.1.9  服务方案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服务方案部分参照比选文件“第四章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本比选文件应符合以下要求：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9.2.1  本比选文件要求的或比选供应商认为有必要提供的其他资料，可根据所提供资料的内容和性质列入上述各部分的文件中。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9.2.2  比选供应商应使用比选文件提供的比选响应文件格式，表格可以按同样格式扩展。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9.2.3  比选响应文件应印刷清晰整洁，编制目录，注明页码，以便查阅。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9.2.4  比选响应文件、比选交换的文件和往来信函应采用简体中文。除非比选文件另有规定，计量单位应使用中华人民共和国法定计量单位。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9.2.5  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pPr>
        <w:spacing w:line="360" w:lineRule="auto"/>
        <w:ind w:firstLine="481" w:firstLineChars="200"/>
        <w:rPr>
          <w:rFonts w:hint="eastAsia" w:ascii="宋体" w:hAnsi="宋体" w:cs="宋体"/>
          <w:b/>
          <w:bCs/>
          <w:color w:val="000000"/>
          <w:sz w:val="24"/>
        </w:rPr>
      </w:pPr>
      <w:bookmarkStart w:id="35" w:name="_Toc23613354"/>
      <w:r>
        <w:rPr>
          <w:rFonts w:hint="eastAsia" w:ascii="宋体" w:hAnsi="宋体" w:cs="宋体"/>
          <w:b/>
          <w:bCs/>
          <w:color w:val="000000"/>
          <w:sz w:val="24"/>
        </w:rPr>
        <w:t>10  比选报价</w:t>
      </w:r>
      <w:bookmarkEnd w:id="35"/>
      <w:r>
        <w:rPr>
          <w:rFonts w:hint="eastAsia" w:ascii="宋体" w:hAnsi="宋体" w:cs="宋体"/>
          <w:b/>
          <w:bCs/>
          <w:color w:val="000000"/>
          <w:sz w:val="24"/>
        </w:rPr>
        <w:t>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除非本比选文件或补充/澄清通知另有规定，比选范围应包括本须知所述的全部内容，比选供应商的报价应是按照国家相关规定，实施比选范围内全部服务内容所需的全部费用。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10.2  对于比选供应商在比选报价中没有进行报价的服务项目，并且该服务项目在比选文件中并没有明确提出免除比选供应商的服务义务，比选供应商将视为该服务项目的价格已包含在比选报价中，或由比选供应商免费提供该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10.3  服务计费方式在委托范围内采用</w:t>
      </w:r>
      <w:r>
        <w:rPr>
          <w:rFonts w:hint="eastAsia" w:ascii="宋体" w:hAnsi="宋体" w:cs="宋体"/>
          <w:b/>
          <w:bCs/>
          <w:color w:val="000000"/>
          <w:sz w:val="24"/>
          <w:u w:val="single"/>
        </w:rPr>
        <w:t>包干制</w:t>
      </w:r>
      <w:r>
        <w:rPr>
          <w:rFonts w:hint="eastAsia" w:ascii="宋体" w:hAnsi="宋体" w:cs="宋体"/>
          <w:color w:val="000000"/>
          <w:sz w:val="24"/>
        </w:rPr>
        <w:t>。比选供应商必须综合考虑本项目的具体情况、比选供应商自身实力、市场竞争因素规定发生调整的情况，按照比选文件规定的格式和内容进行报价。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10.4  比选价格均采用人民币币种报出。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10.5  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投标而被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10.6  比选供应商比选报价超出预算价的比选将被拒绝。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11  比选有效期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比选有效期为比选之日后本须知前附表中第</w:t>
      </w:r>
      <w:r>
        <w:rPr>
          <w:rFonts w:hint="eastAsia" w:ascii="宋体" w:hAnsi="宋体" w:cs="宋体"/>
          <w:color w:val="000000"/>
          <w:sz w:val="24"/>
          <w:u w:val="single"/>
        </w:rPr>
        <w:t>7</w:t>
      </w:r>
      <w:r>
        <w:rPr>
          <w:rFonts w:hint="eastAsia" w:ascii="宋体" w:hAnsi="宋体" w:cs="宋体"/>
          <w:color w:val="000000"/>
          <w:sz w:val="24"/>
        </w:rPr>
        <w:t>项所述的日历日。在此期间内，所有比选响应文件均保持有效。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在原定比选有效期满之前，如果出现特殊情况，采购人可适当延长比选有效期，并及时通知比选供应商。</w:t>
      </w:r>
    </w:p>
    <w:p>
      <w:pPr>
        <w:spacing w:line="360" w:lineRule="auto"/>
        <w:ind w:firstLine="481" w:firstLineChars="200"/>
        <w:rPr>
          <w:rFonts w:hint="eastAsia" w:ascii="宋体" w:hAnsi="宋体" w:cs="宋体"/>
          <w:b/>
          <w:bCs/>
          <w:sz w:val="24"/>
        </w:rPr>
      </w:pPr>
      <w:r>
        <w:rPr>
          <w:rFonts w:hint="eastAsia" w:ascii="宋体" w:hAnsi="宋体" w:cs="宋体"/>
          <w:b/>
          <w:bCs/>
          <w:sz w:val="24"/>
        </w:rPr>
        <w:t>12  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比选供应商在递交比选响应文件之前必须向采购人交纳本须知前附表第</w:t>
      </w:r>
      <w:r>
        <w:rPr>
          <w:rFonts w:hint="eastAsia" w:ascii="宋体" w:hAnsi="宋体" w:cs="宋体"/>
          <w:color w:val="000000"/>
          <w:sz w:val="24"/>
          <w:u w:val="single"/>
        </w:rPr>
        <w:t>8</w:t>
      </w:r>
      <w:r>
        <w:rPr>
          <w:rFonts w:hint="eastAsia" w:ascii="宋体" w:hAnsi="宋体" w:cs="宋体"/>
          <w:color w:val="000000"/>
          <w:sz w:val="24"/>
        </w:rPr>
        <w:t>项所述金额的比选保证金。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比选保证金有效期应与比选有效期保持一致。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比选供应商若依据本须知第</w:t>
      </w:r>
      <w:r>
        <w:rPr>
          <w:rFonts w:hint="eastAsia" w:ascii="宋体" w:hAnsi="宋体" w:cs="宋体"/>
          <w:color w:val="000000"/>
          <w:sz w:val="24"/>
          <w:u w:val="single"/>
        </w:rPr>
        <w:t>11</w:t>
      </w:r>
      <w:r>
        <w:rPr>
          <w:rFonts w:hint="eastAsia" w:ascii="宋体" w:hAnsi="宋体" w:cs="宋体"/>
          <w:color w:val="000000"/>
          <w:sz w:val="24"/>
        </w:rPr>
        <w:t>条的规定延长了比选响应文件有效期，比选保证金的有效期也相应延长；若比选供应商不同意延长比选有效期而放弃比选，比选代理机构将在原比选保证金有效期内退还其比选保证金。对于未能按要求提交足额比选保证金的比选响应文件，可视为不响应比选文件而予以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12.4  成交人的比选保证金将在成交人按规定与</w:t>
      </w:r>
      <w:r>
        <w:rPr>
          <w:rFonts w:hint="eastAsia" w:ascii="宋体" w:hAnsi="宋体" w:cs="宋体"/>
          <w:color w:val="000000"/>
          <w:sz w:val="24"/>
          <w:lang w:val="en-US" w:eastAsia="zh-CN"/>
        </w:rPr>
        <w:t>采购人</w:t>
      </w:r>
      <w:r>
        <w:rPr>
          <w:rFonts w:hint="eastAsia" w:ascii="宋体" w:hAnsi="宋体" w:cs="宋体"/>
          <w:color w:val="000000"/>
          <w:sz w:val="24"/>
        </w:rPr>
        <w:t>签订合同之后5个工作日内无息返还；未成交比选供应商的比选保证金，将在成交通知书发出后5个工作日内无息返还。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12.5  比选供应商如有下列情况，其比选保证金将不予退还：</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12.5.1  比选供应商在比选有效期内修改或撤回其比选响应文件；</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12.5.2  串通作弊、哄抬标价；</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12.5.3  成交的比选供应商未能在规定的期限内与比选供应商签订合同。</w:t>
      </w:r>
    </w:p>
    <w:p>
      <w:pPr>
        <w:spacing w:line="360" w:lineRule="auto"/>
        <w:ind w:firstLine="481" w:firstLineChars="200"/>
        <w:rPr>
          <w:rFonts w:hint="eastAsia" w:ascii="宋体" w:hAnsi="宋体" w:cs="宋体"/>
          <w:b/>
          <w:bCs/>
          <w:color w:val="000000"/>
          <w:sz w:val="24"/>
        </w:rPr>
      </w:pPr>
      <w:bookmarkStart w:id="36" w:name="_Toc23613356"/>
      <w:r>
        <w:rPr>
          <w:rFonts w:hint="eastAsia" w:ascii="宋体" w:hAnsi="宋体" w:cs="宋体"/>
          <w:b/>
          <w:bCs/>
          <w:color w:val="000000"/>
          <w:sz w:val="24"/>
        </w:rPr>
        <w:t>13  比选响应文件的签署</w:t>
      </w:r>
      <w:bookmarkEnd w:id="3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比选供应商应按本须知第9条规定内容</w:t>
      </w:r>
      <w:r>
        <w:rPr>
          <w:rFonts w:hint="eastAsia" w:ascii="宋体" w:hAnsi="宋体" w:cs="宋体"/>
          <w:color w:val="000000"/>
          <w:sz w:val="24"/>
          <w:lang w:eastAsia="zh-CN"/>
        </w:rPr>
        <w:t>、</w:t>
      </w:r>
      <w:r>
        <w:rPr>
          <w:rFonts w:hint="eastAsia" w:ascii="宋体" w:hAnsi="宋体" w:cs="宋体"/>
          <w:color w:val="000000"/>
          <w:sz w:val="24"/>
          <w:lang w:val="en-US" w:eastAsia="zh-CN"/>
        </w:rPr>
        <w:t>要求</w:t>
      </w:r>
      <w:r>
        <w:rPr>
          <w:rFonts w:hint="eastAsia" w:ascii="宋体" w:hAnsi="宋体" w:cs="宋体"/>
          <w:color w:val="000000"/>
          <w:sz w:val="24"/>
        </w:rPr>
        <w:t>与</w:t>
      </w:r>
      <w:r>
        <w:rPr>
          <w:rFonts w:hint="eastAsia" w:ascii="宋体" w:hAnsi="宋体" w:cs="宋体"/>
          <w:color w:val="000000"/>
          <w:sz w:val="24"/>
          <w:lang w:val="en-US" w:eastAsia="zh-CN"/>
        </w:rPr>
        <w:t>第五章规定的</w:t>
      </w:r>
      <w:r>
        <w:rPr>
          <w:rFonts w:hint="eastAsia" w:ascii="宋体" w:hAnsi="宋体" w:cs="宋体"/>
          <w:color w:val="000000"/>
          <w:sz w:val="24"/>
        </w:rPr>
        <w:t>格式向采购人送交比选响应文件，比选供应商应针对所投项目</w:t>
      </w:r>
      <w:r>
        <w:rPr>
          <w:rFonts w:hint="eastAsia" w:ascii="宋体" w:hAnsi="宋体" w:cs="宋体"/>
          <w:b/>
          <w:bCs/>
          <w:color w:val="000000"/>
          <w:sz w:val="24"/>
          <w:u w:val="single"/>
        </w:rPr>
        <w:t>独立准备</w:t>
      </w:r>
      <w:r>
        <w:rPr>
          <w:rFonts w:hint="eastAsia" w:ascii="宋体" w:hAnsi="宋体" w:cs="宋体"/>
          <w:color w:val="000000"/>
          <w:sz w:val="24"/>
        </w:rPr>
        <w:t>比选响应文件</w:t>
      </w:r>
      <w:r>
        <w:rPr>
          <w:rFonts w:hint="eastAsia" w:ascii="宋体" w:hAnsi="宋体" w:cs="宋体"/>
          <w:b/>
          <w:bCs/>
          <w:color w:val="000000"/>
          <w:sz w:val="24"/>
        </w:rPr>
        <w:t>正</w:t>
      </w:r>
      <w:r>
        <w:rPr>
          <w:rFonts w:hint="eastAsia" w:ascii="宋体" w:hAnsi="宋体" w:cs="宋体"/>
          <w:b/>
          <w:color w:val="000000"/>
          <w:sz w:val="24"/>
        </w:rPr>
        <w:t>本一份，副本四份，</w:t>
      </w:r>
      <w:r>
        <w:rPr>
          <w:rFonts w:hint="eastAsia" w:ascii="宋体" w:hAnsi="宋体" w:cs="宋体"/>
          <w:color w:val="000000"/>
          <w:sz w:val="24"/>
        </w:rPr>
        <w:t>并在封面上明确标明“正本”和“副本”的字样，</w:t>
      </w:r>
      <w:r>
        <w:rPr>
          <w:rFonts w:hint="eastAsia" w:ascii="宋体" w:hAnsi="宋体" w:cs="宋体"/>
          <w:b/>
          <w:color w:val="000000"/>
          <w:sz w:val="24"/>
        </w:rPr>
        <w:t>电子文档一份（U盘形式），</w:t>
      </w:r>
      <w:r>
        <w:rPr>
          <w:rFonts w:hint="eastAsia" w:ascii="宋体" w:hAnsi="宋体" w:cs="宋体"/>
          <w:color w:val="000000"/>
          <w:sz w:val="24"/>
        </w:rPr>
        <w:t>当正本与副本有不一致之处时，以正本为准。比选响应文件的副本可为正本的复印件。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  比选响应文件的正本，一律用不褪色的墨水书写或打印并逐页编码，加盖比选供应商单位法人公章、法人章（含骑缝章），并由比选供应商的法定代表人或其授权的代理人签字。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全套比选响应文件应无涂改和行间插字，若有改动，无论何种原因所造成，都应由比选供应商的法定代表人或其授权的代理人在改动处签字。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13.4  比选响应文件应严格按照比选文件规定的顺序装订成册并编制目录，由于编排混乱导致比选响应文件被误读或查找不到，视为比选供应商的责任。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13.5  比选响应文件应严格按照比选文件的要求提交，并按规定的统一格式逐项填写，不准有空项；无相应内容可填写“无”、“无相应指标”等明确的回答文字。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比选报价信为在比选仪式上唱标的内容，要求按格式统一填写，不得自行增减内容。比选供应商必须保证比选响应文件所提供的全部资料真实可靠，并接受评审委员会对其中任何资料进一步审查的要求。</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37" w:name="_Toc511132634"/>
      <w:bookmarkStart w:id="38" w:name="_Toc68963464"/>
      <w:bookmarkStart w:id="39" w:name="_Toc105496490"/>
      <w:bookmarkStart w:id="40" w:name="_Toc24083813"/>
      <w:bookmarkStart w:id="41" w:name="_Toc24455233"/>
      <w:bookmarkStart w:id="42" w:name="_Toc33340838"/>
      <w:r>
        <w:rPr>
          <w:rFonts w:hint="eastAsia" w:ascii="宋体" w:hAnsi="宋体" w:eastAsia="宋体" w:cs="宋体"/>
          <w:color w:val="000000"/>
          <w:szCs w:val="24"/>
        </w:rPr>
        <w:t>四  比选响应文件的递交</w:t>
      </w:r>
      <w:bookmarkEnd w:id="37"/>
      <w:bookmarkEnd w:id="38"/>
      <w:bookmarkEnd w:id="39"/>
      <w:bookmarkEnd w:id="40"/>
      <w:bookmarkEnd w:id="41"/>
      <w:bookmarkEnd w:id="42"/>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14  比选响应文件的装订、密封和标记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比选供应商应将比选响应文件按照本须知第</w:t>
      </w:r>
      <w:r>
        <w:rPr>
          <w:rFonts w:hint="eastAsia" w:ascii="宋体" w:hAnsi="宋体" w:cs="宋体"/>
          <w:color w:val="000000"/>
          <w:sz w:val="24"/>
          <w:u w:val="single"/>
        </w:rPr>
        <w:t>9</w:t>
      </w:r>
      <w:r>
        <w:rPr>
          <w:rFonts w:hint="eastAsia" w:ascii="宋体" w:hAnsi="宋体" w:cs="宋体"/>
          <w:color w:val="000000"/>
          <w:sz w:val="24"/>
        </w:rPr>
        <w:t>条规定的内容和顺序进行编排。</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  比选响应文件正本、副本及电子文档应分别密封在一个内层封套中，并注明“正本”、“副本”及“电子文档”字样。然后将所有比选响应文件统一封装在一个外层封套中，封口处需加盖比选供应商法人公章。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在比选响应文件外层封套上均应注明下列识别标志：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项目名称；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项目编号；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比选响应文件递交地点；</w:t>
      </w:r>
    </w:p>
    <w:p>
      <w:pPr>
        <w:spacing w:line="360" w:lineRule="auto"/>
        <w:ind w:firstLine="480" w:firstLineChars="200"/>
        <w:rPr>
          <w:rFonts w:hint="eastAsia" w:ascii="宋体" w:hAnsi="宋体" w:cs="宋体"/>
          <w:sz w:val="24"/>
        </w:rPr>
      </w:pPr>
      <w:r>
        <w:rPr>
          <w:rFonts w:hint="eastAsia" w:ascii="宋体" w:hAnsi="宋体" w:cs="宋体"/>
          <w:color w:val="000000"/>
          <w:sz w:val="24"/>
        </w:rPr>
        <w:t>“202</w:t>
      </w:r>
      <w:r>
        <w:rPr>
          <w:rFonts w:ascii="宋体" w:hAnsi="宋体" w:cs="宋体"/>
          <w:color w:val="000000"/>
          <w:sz w:val="24"/>
        </w:rPr>
        <w:t>X</w:t>
      </w:r>
      <w:r>
        <w:rPr>
          <w:rFonts w:hint="eastAsia" w:ascii="宋体" w:hAnsi="宋体" w:cs="宋体"/>
          <w:color w:val="000000"/>
          <w:sz w:val="24"/>
        </w:rPr>
        <w:t xml:space="preserve">年 </w:t>
      </w:r>
      <w:r>
        <w:rPr>
          <w:rFonts w:ascii="宋体" w:hAnsi="宋体" w:cs="宋体"/>
          <w:color w:val="000000"/>
          <w:sz w:val="24"/>
        </w:rPr>
        <w:t>X</w:t>
      </w:r>
      <w:r>
        <w:rPr>
          <w:rFonts w:hint="eastAsia" w:ascii="宋体" w:hAnsi="宋体" w:cs="宋体"/>
          <w:color w:val="000000"/>
          <w:sz w:val="24"/>
        </w:rPr>
        <w:t xml:space="preserve">月 </w:t>
      </w:r>
      <w:r>
        <w:rPr>
          <w:rFonts w:ascii="宋体" w:hAnsi="宋体" w:cs="宋体"/>
          <w:color w:val="000000"/>
          <w:sz w:val="24"/>
        </w:rPr>
        <w:t>XX</w:t>
      </w:r>
      <w:r>
        <w:rPr>
          <w:rFonts w:hint="eastAsia" w:ascii="宋体" w:hAnsi="宋体" w:cs="宋体"/>
          <w:color w:val="000000"/>
          <w:sz w:val="24"/>
        </w:rPr>
        <w:t xml:space="preserve"> 日</w:t>
      </w:r>
      <w:r>
        <w:rPr>
          <w:rFonts w:ascii="宋体" w:hAnsi="宋体" w:cs="宋体"/>
          <w:color w:val="000000"/>
          <w:sz w:val="24"/>
        </w:rPr>
        <w:t>XX</w:t>
      </w:r>
      <w:r>
        <w:rPr>
          <w:rFonts w:hint="eastAsia" w:ascii="宋体" w:hAnsi="宋体" w:cs="宋体"/>
          <w:color w:val="000000"/>
          <w:sz w:val="24"/>
        </w:rPr>
        <w:t>:</w:t>
      </w:r>
      <w:r>
        <w:rPr>
          <w:rFonts w:ascii="宋体" w:hAnsi="宋体" w:cs="宋体"/>
          <w:color w:val="000000"/>
          <w:sz w:val="24"/>
        </w:rPr>
        <w:t>XX</w:t>
      </w:r>
      <w:r>
        <w:rPr>
          <w:rFonts w:hint="eastAsia" w:ascii="宋体" w:hAnsi="宋体" w:cs="宋体"/>
          <w:color w:val="000000"/>
          <w:sz w:val="24"/>
        </w:rPr>
        <w:t>时（北京时间）比选，此时间以前不得开启”的字样并加盖比选供应商法人</w:t>
      </w:r>
      <w:r>
        <w:rPr>
          <w:rFonts w:hint="eastAsia" w:ascii="宋体" w:hAnsi="宋体" w:cs="宋体"/>
          <w:sz w:val="24"/>
        </w:rPr>
        <w:t>公章。</w:t>
      </w:r>
    </w:p>
    <w:p>
      <w:pPr>
        <w:spacing w:line="360" w:lineRule="auto"/>
        <w:ind w:firstLine="480" w:firstLineChars="200"/>
        <w:rPr>
          <w:rFonts w:hint="eastAsia" w:ascii="宋体" w:hAnsi="宋体" w:cs="宋体"/>
          <w:sz w:val="24"/>
        </w:rPr>
      </w:pPr>
      <w:r>
        <w:rPr>
          <w:rFonts w:hint="eastAsia" w:ascii="宋体" w:hAnsi="宋体" w:cs="宋体"/>
          <w:sz w:val="24"/>
        </w:rPr>
        <w:t>14.3  除了按本须知第</w:t>
      </w:r>
      <w:r>
        <w:rPr>
          <w:rFonts w:hint="eastAsia" w:ascii="宋体" w:hAnsi="宋体" w:cs="宋体"/>
          <w:sz w:val="24"/>
          <w:u w:val="single"/>
        </w:rPr>
        <w:t>14.2</w:t>
      </w:r>
      <w:r>
        <w:rPr>
          <w:rFonts w:hint="eastAsia" w:ascii="宋体" w:hAnsi="宋体" w:cs="宋体"/>
          <w:sz w:val="24"/>
        </w:rPr>
        <w:t>款所要求的识别字样外，在最外层封套上还应写明比选供应商的名称与地址、邮政编码，以便本须知第</w:t>
      </w:r>
      <w:r>
        <w:rPr>
          <w:rFonts w:hint="eastAsia" w:ascii="宋体" w:hAnsi="宋体" w:cs="宋体"/>
          <w:sz w:val="24"/>
          <w:u w:val="single"/>
        </w:rPr>
        <w:t>16</w:t>
      </w:r>
      <w:r>
        <w:rPr>
          <w:rFonts w:hint="eastAsia" w:ascii="宋体" w:hAnsi="宋体" w:cs="宋体"/>
          <w:sz w:val="24"/>
        </w:rPr>
        <w:t>条规定情况发生时，比选机构可按上面标明的比选供应商地址将比选响应文件原封退回。</w:t>
      </w:r>
    </w:p>
    <w:p>
      <w:pPr>
        <w:spacing w:line="360" w:lineRule="auto"/>
        <w:ind w:firstLine="481" w:firstLineChars="200"/>
        <w:rPr>
          <w:rFonts w:hint="eastAsia" w:ascii="宋体" w:hAnsi="宋体" w:cs="宋体"/>
          <w:b/>
          <w:sz w:val="24"/>
        </w:rPr>
      </w:pPr>
      <w:r>
        <w:rPr>
          <w:rFonts w:hint="eastAsia" w:ascii="宋体" w:hAnsi="宋体" w:cs="宋体"/>
          <w:b/>
          <w:sz w:val="24"/>
        </w:rPr>
        <w:t>14.4  为便于现场比选，比选供应商应将“比选函”密封递交，并在信封上注明“比选函”字样，加盖法人公章。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14.5  如果比选响应文件没有按本须知第</w:t>
      </w:r>
      <w:r>
        <w:rPr>
          <w:rFonts w:hint="eastAsia" w:ascii="宋体" w:hAnsi="宋体" w:cs="宋体"/>
          <w:color w:val="000000"/>
          <w:sz w:val="24"/>
          <w:u w:val="single"/>
        </w:rPr>
        <w:t>14</w:t>
      </w:r>
      <w:r>
        <w:rPr>
          <w:rFonts w:hint="eastAsia" w:ascii="宋体" w:hAnsi="宋体" w:cs="宋体"/>
          <w:color w:val="000000"/>
          <w:sz w:val="24"/>
        </w:rPr>
        <w:t>条的有关规定进行标记和密封，采购人将不承担比选响应文件错放或提前开封的责任。</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15  比选响应文件的递交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15.1  比选供应商必须按比选邀请书和本须知前附表第</w:t>
      </w:r>
      <w:r>
        <w:rPr>
          <w:rFonts w:hint="eastAsia" w:ascii="宋体" w:hAnsi="宋体" w:cs="宋体"/>
          <w:color w:val="000000"/>
          <w:sz w:val="24"/>
          <w:u w:val="single"/>
        </w:rPr>
        <w:t>10</w:t>
      </w:r>
      <w:r>
        <w:rPr>
          <w:rFonts w:hint="eastAsia" w:ascii="宋体" w:hAnsi="宋体" w:cs="宋体"/>
          <w:color w:val="000000"/>
          <w:sz w:val="24"/>
        </w:rPr>
        <w:t>条中规定的地点，在规定的时间内将比选响应文件送达。</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16  迟到的比选响应文件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采购人对于迟到的比选响应文件将不予接收，并退还比选供应商。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17  比选响应文件的修改与撤回</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比选供应商在递交比选响应文件以后，在规定的比选截止时间之前，可以书面形式向采购人递交请求修改其比选响应文件的通知。但在比选截止时间以后，不能修改比选响应文件。</w:t>
      </w:r>
    </w:p>
    <w:p>
      <w:pPr>
        <w:spacing w:line="360" w:lineRule="auto"/>
        <w:ind w:firstLine="480" w:firstLineChars="200"/>
        <w:rPr>
          <w:rFonts w:hint="eastAsia" w:ascii="宋体" w:hAnsi="宋体" w:cs="宋体"/>
          <w:color w:val="000000"/>
          <w:sz w:val="24"/>
        </w:rPr>
      </w:pPr>
      <w:r>
        <w:rPr>
          <w:rFonts w:hint="eastAsia" w:ascii="宋体" w:hAnsi="宋体" w:cs="宋体"/>
          <w:sz w:val="24"/>
        </w:rPr>
        <w:t>17.2  比选供应商修改后的比选响应文件或撤回通知，应按</w:t>
      </w:r>
      <w:r>
        <w:rPr>
          <w:rFonts w:hint="eastAsia" w:ascii="宋体" w:hAnsi="宋体" w:cs="宋体"/>
          <w:color w:val="000000"/>
          <w:sz w:val="24"/>
        </w:rPr>
        <w:t>本须知第</w:t>
      </w:r>
      <w:r>
        <w:rPr>
          <w:rFonts w:hint="eastAsia" w:ascii="宋体" w:hAnsi="宋体" w:cs="宋体"/>
          <w:color w:val="000000"/>
          <w:sz w:val="24"/>
          <w:u w:val="single"/>
        </w:rPr>
        <w:t>13</w:t>
      </w:r>
      <w:r>
        <w:rPr>
          <w:rFonts w:hint="eastAsia" w:ascii="宋体" w:hAnsi="宋体" w:cs="宋体"/>
          <w:color w:val="000000"/>
          <w:sz w:val="24"/>
        </w:rPr>
        <w:t>条和第</w:t>
      </w:r>
      <w:r>
        <w:rPr>
          <w:rFonts w:hint="eastAsia" w:ascii="宋体" w:hAnsi="宋体" w:cs="宋体"/>
          <w:color w:val="000000"/>
          <w:sz w:val="24"/>
          <w:u w:val="single"/>
        </w:rPr>
        <w:t>14</w:t>
      </w:r>
      <w:r>
        <w:rPr>
          <w:rFonts w:hint="eastAsia" w:ascii="宋体" w:hAnsi="宋体" w:cs="宋体"/>
          <w:color w:val="000000"/>
          <w:sz w:val="24"/>
        </w:rPr>
        <w:t>条的规定编制、签署、密封、标志和递交。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17.3  根据本须知的规定，在比选截止时间与比选文件中规定的比选有效期终止日之间的这段时间内，比选供应商不能撤回比选响应文件，否则其比选保证金将被没收。</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3" w:name="_Toc24455234"/>
      <w:bookmarkStart w:id="44" w:name="_Toc33340839"/>
      <w:bookmarkStart w:id="45" w:name="_Toc68963465"/>
      <w:bookmarkStart w:id="46" w:name="_Toc24083814"/>
      <w:bookmarkStart w:id="47" w:name="_Toc105496491"/>
      <w:bookmarkStart w:id="48" w:name="_Toc511132635"/>
      <w:r>
        <w:rPr>
          <w:rFonts w:hint="eastAsia" w:ascii="宋体" w:hAnsi="宋体" w:eastAsia="宋体" w:cs="宋体"/>
          <w:color w:val="000000"/>
          <w:szCs w:val="24"/>
        </w:rPr>
        <w:t>五  比选与评</w:t>
      </w:r>
      <w:bookmarkEnd w:id="43"/>
      <w:bookmarkEnd w:id="44"/>
      <w:bookmarkEnd w:id="45"/>
      <w:bookmarkEnd w:id="46"/>
      <w:r>
        <w:rPr>
          <w:rFonts w:hint="eastAsia" w:ascii="宋体" w:hAnsi="宋体" w:eastAsia="宋体" w:cs="宋体"/>
          <w:color w:val="000000"/>
          <w:szCs w:val="24"/>
        </w:rPr>
        <w:t>审</w:t>
      </w:r>
      <w:bookmarkEnd w:id="47"/>
      <w:bookmarkEnd w:id="48"/>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18  比选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18.1  北京市城市管理委员会将按照比选邀请书及本须知前附表中规定的地点举行比选会议。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18.2  按规定提交合格的撤回通知的比选响应文件不予开封，并退回给比选供应商。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比选响应文件有下列情况之一的，采购人不予接受：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比选响应文件逾期送达的；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比选响应文件未进行密封的。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18.3  比选程序：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比选会议将由北京市城市管理委员会组织并主持；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由工作人员当众拆封，宣读比选供应商名称、比选报价、修改内容（如有）以及采购人认为适当的其他内容；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按规定提交合格撤回通知的比选响应文件不予开封；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由北京市城市管理委员会整理比选记录。</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19  评审委员会与评审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19.1  北京市城市管理委员会将按照《</w:t>
      </w:r>
      <w:r>
        <w:rPr>
          <w:rFonts w:hint="eastAsia" w:ascii="宋体" w:hAnsi="宋体" w:cs="宋体"/>
          <w:color w:val="000000"/>
          <w:sz w:val="24"/>
          <w:lang w:val="en-US" w:eastAsia="zh-CN"/>
        </w:rPr>
        <w:t>政府采购法</w:t>
      </w:r>
      <w:r>
        <w:rPr>
          <w:rFonts w:hint="eastAsia" w:ascii="宋体" w:hAnsi="宋体" w:cs="宋体"/>
          <w:color w:val="000000"/>
          <w:sz w:val="24"/>
        </w:rPr>
        <w:t>》等有关规定依法组建评审委员会。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19.2  评审由评审委员会负责，对所有比选响应文件的评估都将采用相同的程序和标准。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20  初步审查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20.1  在比选采购中，出现下列情形之一的，应予拒绝：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出现影响采购公正的违法、违规行为的；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比选供应商的报价均超过了采购预算，采购人不能支付的。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20.2  评审前，评审委员会将审查每一比选响应文件是否对比选文件提出的所有实质性要求和条件做出响应，未能在实质性上响应的比选，将按无效处理。只有通过初步审查的比选响应文件才能进入下一步评审程序。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评审委员会根据比选文件要求，审查并逐项列出比选响应文件的全部偏差。下列情况属于重大偏差：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比选响应文件内容不完整的；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比选供应商资格不符合比选文件要求的；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比选响应文件没有法定代表人或其授权代理人签字或加盖法人公章；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比选响应文件中附有采购人不能接受的条件或对合同中约定的采购人和比选供应商的义务有重大的限制，且纠正这些偏差将会对其他实质上响应比选文件要求的比选供应商的竞争地位产生不公正的影响；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 不符合比选文件规定的其他实质性要求。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相应比选文件有上述情形之一的，即构成未对比选文件做出实质性响应，将按无效处理，不允许比选供应商通过修改或撤</w:t>
      </w:r>
      <w:r>
        <w:rPr>
          <w:rFonts w:hint="eastAsia" w:ascii="宋体" w:hAnsi="宋体" w:cs="宋体"/>
          <w:color w:val="000000"/>
          <w:sz w:val="24"/>
          <w:lang w:val="en-US" w:eastAsia="zh-CN"/>
        </w:rPr>
        <w:t>销</w:t>
      </w:r>
      <w:r>
        <w:rPr>
          <w:rFonts w:hint="eastAsia" w:ascii="宋体" w:hAnsi="宋体" w:cs="宋体"/>
          <w:color w:val="000000"/>
          <w:sz w:val="24"/>
        </w:rPr>
        <w:t>其不符合要求的偏差，使之成为具有响应性的比选。</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21  错误的修正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对于实质上符合比选文件要求的比选响应文件，评审委员会将对其报价进行校核，并对有算术性差错的给予修正。修正的原则为：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(a) 如果用数字表示的数额与用文字表示的数额不一致时，以文字数额为准。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(b) 当单价与数量的乘积与合价之间不一致时，通常以标出的单价为准。除非评审机构认为有明显的小数点错位，此时应以标出的合价为准，并修改单价。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(c) 当各细目的合价累计与总价不一致时，应以各细目合价累计数为准，修正总价。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按以上原则对算术性差错的修正，应取得比选供应商的同意，并确认修正后的最终比选价。如果比选供应商拒绝确认，则其比选响应文件将不予评审，评委会有权宣布其比选无效。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评审委员会发现比选供应商的报价明显低于其他比选报价，使得其比选报价可能低于其成本的，将要求该比选供应商做出书面说明并提供相关证明材料。比选供应商如不能合理说明或不能提供相关证明材料的，由评审委员会认定该比选供应商以低于成本报价竞标，其比选将按无效处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22  比选响应文件的澄清</w:t>
      </w:r>
    </w:p>
    <w:p>
      <w:pPr>
        <w:spacing w:line="360" w:lineRule="auto"/>
        <w:ind w:firstLine="481" w:firstLineChars="200"/>
        <w:rPr>
          <w:rFonts w:hint="eastAsia" w:ascii="宋体" w:hAnsi="宋体" w:cs="宋体"/>
          <w:b/>
          <w:sz w:val="24"/>
        </w:rPr>
      </w:pPr>
      <w:r>
        <w:rPr>
          <w:rFonts w:hint="eastAsia" w:ascii="宋体" w:hAnsi="宋体" w:cs="宋体"/>
          <w:b/>
          <w:bCs/>
          <w:sz w:val="24"/>
        </w:rPr>
        <w:t>评审阶段</w:t>
      </w:r>
      <w:r>
        <w:rPr>
          <w:rFonts w:hint="eastAsia" w:ascii="宋体" w:hAnsi="宋体" w:cs="宋体"/>
          <w:b/>
          <w:sz w:val="24"/>
        </w:rPr>
        <w:t>，评审委员会认为需要时，可要求比选供应商现场澄清其比选响应文件中的问题，或者要求补充必要资料，对此，比选供应商不得拒绝。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23  比选响应文件的评价与比较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23.1  本项目采用综合评分法进行评审，具体评审办法及标准详见第六章。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23.2  评委会将根据各比选供应商综合评分得分推荐排名第一名的单位为本项目的成交候选供应商。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24   无效投标条款</w:t>
      </w:r>
    </w:p>
    <w:p>
      <w:pPr>
        <w:widowControl/>
        <w:spacing w:line="360" w:lineRule="auto"/>
        <w:ind w:firstLine="480" w:firstLineChars="200"/>
        <w:rPr>
          <w:rFonts w:hint="eastAsia" w:ascii="宋体" w:hAnsi="宋体" w:cs="宋体"/>
          <w:sz w:val="24"/>
        </w:rPr>
      </w:pPr>
      <w:r>
        <w:rPr>
          <w:rFonts w:hint="eastAsia" w:ascii="宋体" w:hAnsi="宋体" w:cs="宋体"/>
          <w:sz w:val="24"/>
        </w:rPr>
        <w:t>24.1  应交未交或未足额缴纳有效的投标保证金的。</w:t>
      </w:r>
    </w:p>
    <w:p>
      <w:pPr>
        <w:widowControl/>
        <w:spacing w:line="360" w:lineRule="auto"/>
        <w:ind w:firstLine="480" w:firstLineChars="200"/>
        <w:rPr>
          <w:rFonts w:hint="eastAsia" w:ascii="宋体" w:hAnsi="宋体" w:cs="宋体"/>
          <w:sz w:val="24"/>
        </w:rPr>
      </w:pPr>
      <w:r>
        <w:rPr>
          <w:rFonts w:hint="eastAsia" w:ascii="宋体" w:hAnsi="宋体" w:cs="宋体"/>
          <w:sz w:val="24"/>
        </w:rPr>
        <w:t>24.2  比选响应文件未按照比选文件规定要求密封、签署、盖章的。</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24.3  开标一览表未按照比选文件要求报价、签字、盖章、密封的。</w:t>
      </w:r>
    </w:p>
    <w:p>
      <w:pPr>
        <w:spacing w:line="360" w:lineRule="auto"/>
        <w:ind w:firstLine="480" w:firstLineChars="200"/>
        <w:rPr>
          <w:rFonts w:hint="eastAsia" w:ascii="宋体" w:hAnsi="宋体" w:cs="宋体"/>
          <w:sz w:val="24"/>
        </w:rPr>
      </w:pPr>
      <w:r>
        <w:rPr>
          <w:rFonts w:hint="eastAsia" w:ascii="宋体" w:hAnsi="宋体" w:cs="宋体"/>
          <w:sz w:val="24"/>
        </w:rPr>
        <w:t>24.4  投标有效期不满足比选文件要求的。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24.5  提供选择性报价的。</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24.6  比选供应商不具备比选文件中规定的资格要求的。 </w:t>
      </w:r>
    </w:p>
    <w:p>
      <w:pPr>
        <w:widowControl/>
        <w:spacing w:line="360" w:lineRule="auto"/>
        <w:ind w:firstLine="480" w:firstLineChars="200"/>
        <w:rPr>
          <w:rFonts w:hint="eastAsia" w:ascii="宋体" w:hAnsi="宋体" w:cs="宋体"/>
          <w:sz w:val="24"/>
        </w:rPr>
      </w:pPr>
      <w:r>
        <w:rPr>
          <w:rFonts w:hint="eastAsia" w:ascii="宋体" w:hAnsi="宋体" w:cs="宋体"/>
          <w:sz w:val="24"/>
        </w:rPr>
        <w:t>24.7  不符合法律、法规和比选文件中规定的其他实质性要求的（比选供应商对比选文件中的斜体字部分、比选文件中带有“应、应当、须、必须、不得、不”等字样条款的偏离，将导致其投标被拒绝。）</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24.8  未按照“</w:t>
      </w:r>
      <w:r>
        <w:rPr>
          <w:rFonts w:hint="eastAsia" w:ascii="宋体" w:hAnsi="宋体" w:cs="宋体"/>
          <w:sz w:val="24"/>
          <w:lang w:eastAsia="zh-CN"/>
        </w:rPr>
        <w:t>第五章</w:t>
      </w:r>
      <w:r>
        <w:rPr>
          <w:rFonts w:hint="eastAsia" w:ascii="宋体" w:hAnsi="宋体" w:cs="宋体"/>
          <w:sz w:val="24"/>
          <w:lang w:val="en-US" w:eastAsia="zh-CN"/>
        </w:rPr>
        <w:t xml:space="preserve"> 十、</w:t>
      </w:r>
      <w:r>
        <w:rPr>
          <w:rFonts w:hint="eastAsia" w:ascii="宋体" w:hAnsi="宋体" w:cs="宋体"/>
          <w:sz w:val="24"/>
        </w:rPr>
        <w:t>资格证明文件”中要求，提供有效的资格证明文件的。</w:t>
      </w:r>
    </w:p>
    <w:p>
      <w:pPr>
        <w:spacing w:line="360" w:lineRule="auto"/>
        <w:ind w:firstLine="480" w:firstLineChars="200"/>
        <w:rPr>
          <w:rFonts w:hint="eastAsia" w:ascii="宋体" w:hAnsi="宋体" w:cs="宋体"/>
          <w:sz w:val="24"/>
        </w:rPr>
      </w:pPr>
      <w:r>
        <w:rPr>
          <w:rFonts w:hint="eastAsia" w:ascii="宋体" w:hAnsi="宋体" w:cs="宋体"/>
          <w:sz w:val="24"/>
        </w:rPr>
        <w:t>24.9  在评标期间，试图非法干预、影响招标采购单位和评标委员会的任何活动的。</w:t>
      </w:r>
    </w:p>
    <w:p>
      <w:pPr>
        <w:spacing w:line="360" w:lineRule="auto"/>
        <w:ind w:firstLine="480" w:firstLineChars="200"/>
        <w:rPr>
          <w:rFonts w:hint="eastAsia" w:ascii="宋体" w:hAnsi="宋体" w:cs="宋体"/>
          <w:sz w:val="24"/>
        </w:rPr>
      </w:pPr>
      <w:r>
        <w:rPr>
          <w:rFonts w:hint="eastAsia" w:ascii="宋体" w:hAnsi="宋体" w:cs="宋体"/>
          <w:sz w:val="24"/>
        </w:rPr>
        <w:t>24.10  投标报价超过采购预算的。</w:t>
      </w:r>
    </w:p>
    <w:p>
      <w:pPr>
        <w:spacing w:line="360" w:lineRule="auto"/>
        <w:ind w:firstLine="480" w:firstLineChars="200"/>
        <w:rPr>
          <w:rFonts w:hint="eastAsia" w:ascii="宋体" w:hAnsi="宋体" w:cs="宋体"/>
          <w:sz w:val="24"/>
        </w:rPr>
      </w:pPr>
      <w:r>
        <w:rPr>
          <w:rFonts w:hint="eastAsia" w:ascii="宋体" w:hAnsi="宋体" w:cs="宋体"/>
          <w:sz w:val="24"/>
        </w:rPr>
        <w:t>24.11  投标报价低于采购预算20%（不含）评审委员会认为投标报价组成明显不合理的。</w:t>
      </w:r>
    </w:p>
    <w:p>
      <w:pPr>
        <w:spacing w:line="360" w:lineRule="auto"/>
        <w:ind w:firstLine="480" w:firstLineChars="200"/>
        <w:rPr>
          <w:rFonts w:hint="eastAsia" w:ascii="宋体" w:hAnsi="宋体" w:cs="宋体"/>
          <w:sz w:val="24"/>
        </w:rPr>
      </w:pPr>
      <w:r>
        <w:rPr>
          <w:rFonts w:hint="eastAsia" w:ascii="宋体" w:hAnsi="宋体" w:cs="宋体"/>
          <w:sz w:val="24"/>
        </w:rPr>
        <w:t>24.12  不满足比选文件第七章第8款付款条件的。</w:t>
      </w:r>
    </w:p>
    <w:p>
      <w:pPr>
        <w:spacing w:line="360" w:lineRule="auto"/>
        <w:ind w:firstLine="480" w:firstLineChars="200"/>
        <w:rPr>
          <w:rFonts w:hint="eastAsia" w:ascii="宋体" w:hAnsi="宋体" w:cs="宋体"/>
          <w:sz w:val="24"/>
        </w:rPr>
      </w:pPr>
      <w:r>
        <w:rPr>
          <w:rFonts w:hint="eastAsia" w:ascii="宋体" w:hAnsi="宋体" w:cs="宋体"/>
          <w:sz w:val="24"/>
        </w:rPr>
        <w:t>24.13  比选供应商未对全部采购内容进行投标的。</w:t>
      </w:r>
    </w:p>
    <w:p>
      <w:pPr>
        <w:spacing w:line="360" w:lineRule="auto"/>
        <w:ind w:firstLine="480" w:firstLineChars="200"/>
        <w:rPr>
          <w:rFonts w:hint="eastAsia" w:ascii="宋体" w:hAnsi="宋体" w:cs="宋体"/>
          <w:sz w:val="24"/>
        </w:rPr>
      </w:pPr>
      <w:r>
        <w:rPr>
          <w:rFonts w:hint="eastAsia" w:ascii="宋体" w:hAnsi="宋体" w:cs="宋体"/>
          <w:sz w:val="24"/>
        </w:rPr>
        <w:t>24.14  交货期不满足比选文件要求的。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24.15  *号条款不满足比选文件要求的。</w:t>
      </w:r>
    </w:p>
    <w:p>
      <w:pPr>
        <w:spacing w:line="360" w:lineRule="auto"/>
        <w:ind w:firstLine="481" w:firstLineChars="200"/>
        <w:rPr>
          <w:rFonts w:hint="eastAsia" w:ascii="宋体" w:hAnsi="宋体" w:cs="宋体"/>
          <w:sz w:val="24"/>
        </w:rPr>
      </w:pPr>
      <w:r>
        <w:rPr>
          <w:rFonts w:hint="eastAsia" w:ascii="宋体" w:hAnsi="宋体" w:cs="宋体"/>
          <w:b/>
          <w:bCs/>
          <w:sz w:val="24"/>
        </w:rPr>
        <w:t>25  废标条款</w:t>
      </w:r>
    </w:p>
    <w:p>
      <w:pPr>
        <w:spacing w:line="360" w:lineRule="auto"/>
        <w:ind w:firstLine="480" w:firstLineChars="200"/>
        <w:rPr>
          <w:rFonts w:hint="eastAsia" w:ascii="宋体" w:hAnsi="宋体" w:cs="宋体"/>
          <w:sz w:val="24"/>
        </w:rPr>
      </w:pPr>
      <w:r>
        <w:rPr>
          <w:rFonts w:hint="eastAsia" w:ascii="宋体" w:hAnsi="宋体" w:cs="宋体"/>
          <w:sz w:val="24"/>
        </w:rPr>
        <w:t>25.1  符合专业条件的供应商或者对比选文件做出实质性响应的供应商不足三家的。</w:t>
      </w:r>
    </w:p>
    <w:p>
      <w:pPr>
        <w:spacing w:line="360" w:lineRule="auto"/>
        <w:ind w:firstLine="480" w:firstLineChars="200"/>
        <w:rPr>
          <w:rFonts w:hint="eastAsia" w:ascii="宋体" w:hAnsi="宋体" w:cs="宋体"/>
          <w:sz w:val="24"/>
        </w:rPr>
      </w:pPr>
      <w:r>
        <w:rPr>
          <w:rFonts w:hint="eastAsia" w:ascii="宋体" w:hAnsi="宋体" w:cs="宋体"/>
          <w:sz w:val="24"/>
        </w:rPr>
        <w:t>25.2  出现影响采购公正的违法、违规行为的。</w:t>
      </w:r>
    </w:p>
    <w:p>
      <w:pPr>
        <w:spacing w:line="360" w:lineRule="auto"/>
        <w:ind w:firstLine="480" w:firstLineChars="200"/>
        <w:rPr>
          <w:rFonts w:hint="eastAsia" w:ascii="宋体" w:hAnsi="宋体" w:cs="宋体"/>
          <w:sz w:val="24"/>
        </w:rPr>
      </w:pPr>
      <w:r>
        <w:rPr>
          <w:rFonts w:hint="eastAsia" w:ascii="宋体" w:hAnsi="宋体" w:cs="宋体"/>
          <w:sz w:val="24"/>
        </w:rPr>
        <w:t>25.3  比选供应商的报价均超过了采购预算，采购人不能支付的。</w:t>
      </w:r>
    </w:p>
    <w:p>
      <w:pPr>
        <w:spacing w:line="360" w:lineRule="auto"/>
        <w:ind w:firstLine="480" w:firstLineChars="200"/>
        <w:rPr>
          <w:rFonts w:hint="eastAsia" w:ascii="宋体" w:hAnsi="宋体" w:cs="宋体"/>
          <w:b/>
          <w:bCs/>
          <w:sz w:val="24"/>
        </w:rPr>
      </w:pPr>
      <w:r>
        <w:rPr>
          <w:rFonts w:hint="eastAsia" w:ascii="宋体" w:hAnsi="宋体" w:cs="宋体"/>
          <w:sz w:val="24"/>
        </w:rPr>
        <w:t>25.4  因重大变故，采购任务取消的。</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9" w:name="_Toc24083815"/>
      <w:bookmarkStart w:id="50" w:name="_Toc105496492"/>
      <w:bookmarkStart w:id="51" w:name="_Toc24455235"/>
      <w:bookmarkStart w:id="52" w:name="_Toc24456368"/>
      <w:bookmarkStart w:id="53" w:name="_Toc24711813"/>
      <w:bookmarkStart w:id="54" w:name="_Toc33340840"/>
      <w:bookmarkStart w:id="55" w:name="_Toc511132636"/>
      <w:bookmarkStart w:id="56" w:name="_Toc68963466"/>
      <w:r>
        <w:rPr>
          <w:rFonts w:hint="eastAsia" w:ascii="宋体" w:hAnsi="宋体" w:eastAsia="宋体" w:cs="宋体"/>
          <w:color w:val="000000"/>
          <w:szCs w:val="24"/>
        </w:rPr>
        <w:t>六、合同的授予</w:t>
      </w:r>
      <w:bookmarkEnd w:id="49"/>
      <w:bookmarkEnd w:id="50"/>
      <w:bookmarkEnd w:id="51"/>
      <w:bookmarkEnd w:id="52"/>
      <w:bookmarkEnd w:id="53"/>
      <w:bookmarkEnd w:id="54"/>
      <w:bookmarkEnd w:id="55"/>
      <w:bookmarkEnd w:id="56"/>
    </w:p>
    <w:p>
      <w:pPr>
        <w:spacing w:line="360" w:lineRule="auto"/>
        <w:ind w:firstLine="480" w:firstLineChars="200"/>
        <w:rPr>
          <w:rFonts w:hint="eastAsia" w:ascii="宋体" w:hAnsi="宋体" w:cs="宋体"/>
          <w:sz w:val="24"/>
        </w:rPr>
      </w:pPr>
      <w:r>
        <w:rPr>
          <w:rFonts w:hint="eastAsia" w:ascii="宋体" w:hAnsi="宋体" w:cs="宋体"/>
          <w:sz w:val="24"/>
        </w:rPr>
        <w:t>26  合同授予的条件</w:t>
      </w:r>
    </w:p>
    <w:p>
      <w:pPr>
        <w:spacing w:line="360" w:lineRule="auto"/>
        <w:ind w:firstLine="480" w:firstLineChars="200"/>
        <w:rPr>
          <w:rFonts w:hint="eastAsia" w:ascii="宋体" w:hAnsi="宋体" w:cs="宋体"/>
          <w:sz w:val="24"/>
        </w:rPr>
      </w:pPr>
      <w:r>
        <w:rPr>
          <w:rFonts w:hint="eastAsia" w:ascii="宋体" w:hAnsi="宋体" w:cs="宋体"/>
          <w:sz w:val="24"/>
        </w:rPr>
        <w:t>26.1  采购人将把合同授予按本须知第</w:t>
      </w:r>
      <w:r>
        <w:rPr>
          <w:rFonts w:hint="eastAsia" w:ascii="宋体" w:hAnsi="宋体" w:cs="宋体"/>
          <w:sz w:val="24"/>
          <w:u w:val="single"/>
        </w:rPr>
        <w:t>23</w:t>
      </w:r>
      <w:r>
        <w:rPr>
          <w:rFonts w:hint="eastAsia" w:ascii="宋体" w:hAnsi="宋体" w:cs="宋体"/>
          <w:sz w:val="24"/>
        </w:rPr>
        <w:t>条规定评选出的比选供应商。</w:t>
      </w:r>
    </w:p>
    <w:p>
      <w:pPr>
        <w:spacing w:line="360" w:lineRule="auto"/>
        <w:ind w:firstLine="480" w:firstLineChars="200"/>
        <w:rPr>
          <w:rFonts w:hint="eastAsia" w:ascii="宋体" w:hAnsi="宋体" w:cs="宋体"/>
          <w:sz w:val="24"/>
        </w:rPr>
      </w:pPr>
      <w:r>
        <w:rPr>
          <w:rFonts w:hint="eastAsia" w:ascii="宋体" w:hAnsi="宋体" w:cs="宋体"/>
          <w:sz w:val="24"/>
        </w:rPr>
        <w:t>26.2  采购人不承诺将合同授予报价最低的比选供应商。</w:t>
      </w:r>
    </w:p>
    <w:p>
      <w:pPr>
        <w:spacing w:line="360" w:lineRule="auto"/>
        <w:ind w:firstLine="480" w:firstLineChars="200"/>
        <w:rPr>
          <w:rFonts w:hint="eastAsia" w:ascii="宋体" w:hAnsi="宋体" w:cs="宋体"/>
          <w:sz w:val="24"/>
        </w:rPr>
      </w:pPr>
      <w:r>
        <w:rPr>
          <w:rFonts w:hint="eastAsia" w:ascii="宋体" w:hAnsi="宋体" w:cs="宋体"/>
          <w:sz w:val="24"/>
        </w:rPr>
        <w:t>26.3  接受和拒绝比选的权利</w:t>
      </w:r>
    </w:p>
    <w:p>
      <w:pPr>
        <w:spacing w:line="360" w:lineRule="auto"/>
        <w:ind w:firstLine="480" w:firstLineChars="200"/>
        <w:rPr>
          <w:rFonts w:hint="eastAsia" w:ascii="宋体" w:hAnsi="宋体" w:cs="宋体"/>
          <w:sz w:val="24"/>
        </w:rPr>
      </w:pPr>
      <w:r>
        <w:rPr>
          <w:rFonts w:hint="eastAsia" w:ascii="宋体" w:hAnsi="宋体" w:cs="宋体"/>
          <w:sz w:val="24"/>
        </w:rPr>
        <w:t>在中选通知书发出之前，采购人有权接受或拒绝任何比选，宣布无效或拒绝所有比选，并对由此而引起的对比选供应商的影响不承担责任，也不解释原因。</w:t>
      </w:r>
    </w:p>
    <w:p>
      <w:pPr>
        <w:spacing w:line="360" w:lineRule="auto"/>
        <w:ind w:firstLine="480" w:firstLineChars="200"/>
        <w:rPr>
          <w:rFonts w:hint="eastAsia" w:ascii="宋体" w:hAnsi="宋体" w:cs="宋体"/>
          <w:sz w:val="24"/>
        </w:rPr>
      </w:pPr>
      <w:r>
        <w:rPr>
          <w:rFonts w:hint="eastAsia" w:ascii="宋体" w:hAnsi="宋体" w:cs="宋体"/>
          <w:sz w:val="24"/>
        </w:rPr>
        <w:t>27  中选通知书</w:t>
      </w:r>
    </w:p>
    <w:p>
      <w:pPr>
        <w:spacing w:line="360" w:lineRule="auto"/>
        <w:ind w:firstLine="480" w:firstLineChars="200"/>
        <w:rPr>
          <w:rFonts w:hint="eastAsia" w:ascii="宋体" w:hAnsi="宋体" w:cs="宋体"/>
          <w:color w:val="000000"/>
          <w:sz w:val="24"/>
        </w:rPr>
      </w:pPr>
      <w:r>
        <w:rPr>
          <w:rFonts w:hint="eastAsia" w:ascii="宋体" w:hAnsi="宋体" w:cs="宋体"/>
          <w:sz w:val="24"/>
        </w:rPr>
        <w:t>27.1  评审结束后，采购人在比选响应文件有效期截止前向成交供应商发出《中选通知书》,并同时将中选结果在北京市城市管理</w:t>
      </w:r>
      <w:r>
        <w:rPr>
          <w:rFonts w:hint="eastAsia" w:ascii="宋体" w:hAnsi="宋体" w:cs="宋体"/>
          <w:color w:val="000000"/>
          <w:sz w:val="24"/>
        </w:rPr>
        <w:t>委员会门户网站公示。</w:t>
      </w:r>
    </w:p>
    <w:p>
      <w:pPr>
        <w:spacing w:line="360" w:lineRule="auto"/>
        <w:ind w:firstLine="480" w:firstLineChars="200"/>
        <w:rPr>
          <w:rFonts w:hint="eastAsia" w:ascii="宋体" w:hAnsi="宋体" w:cs="宋体"/>
          <w:color w:val="000000"/>
          <w:sz w:val="24"/>
        </w:rPr>
      </w:pPr>
      <w:r>
        <w:rPr>
          <w:rFonts w:hint="eastAsia" w:ascii="宋体" w:hAnsi="宋体" w:cs="宋体"/>
          <w:sz w:val="24"/>
        </w:rPr>
        <w:t xml:space="preserve">27.2  </w:t>
      </w:r>
      <w:r>
        <w:rPr>
          <w:rFonts w:hint="eastAsia" w:ascii="宋体" w:hAnsi="宋体" w:cs="宋体"/>
          <w:color w:val="000000"/>
          <w:sz w:val="24"/>
        </w:rPr>
        <w:t>《中选通知书》是合同文件的组成部分。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28  签订合同</w:t>
      </w:r>
    </w:p>
    <w:p>
      <w:pPr>
        <w:spacing w:line="360" w:lineRule="auto"/>
        <w:ind w:firstLine="480" w:firstLineChars="200"/>
        <w:rPr>
          <w:rFonts w:hint="eastAsia" w:ascii="宋体" w:hAnsi="宋体" w:cs="宋体"/>
          <w:color w:val="000000"/>
          <w:sz w:val="24"/>
        </w:rPr>
      </w:pPr>
      <w:r>
        <w:rPr>
          <w:rFonts w:hint="eastAsia" w:ascii="宋体" w:hAnsi="宋体" w:cs="宋体"/>
          <w:sz w:val="24"/>
        </w:rPr>
        <w:t>28.1  成交供应商</w:t>
      </w:r>
      <w:r>
        <w:rPr>
          <w:rFonts w:hint="eastAsia" w:ascii="宋体" w:hAnsi="宋体" w:cs="宋体"/>
          <w:color w:val="000000"/>
          <w:sz w:val="24"/>
        </w:rPr>
        <w:t>应在接到中选通知书后</w:t>
      </w:r>
      <w:r>
        <w:rPr>
          <w:rFonts w:hint="eastAsia" w:ascii="宋体" w:hAnsi="宋体" w:cs="宋体"/>
          <w:color w:val="000000"/>
          <w:sz w:val="24"/>
          <w:u w:val="single"/>
        </w:rPr>
        <w:t>30</w:t>
      </w:r>
      <w:r>
        <w:rPr>
          <w:rFonts w:hint="eastAsia" w:ascii="宋体" w:hAnsi="宋体" w:cs="宋体"/>
          <w:color w:val="000000"/>
          <w:sz w:val="24"/>
        </w:rPr>
        <w:t>天内，根据比选文件和成交人的比选响应文件与采购人签订服务合同，采购人和</w:t>
      </w:r>
      <w:r>
        <w:rPr>
          <w:rFonts w:hint="eastAsia" w:ascii="宋体" w:hAnsi="宋体" w:cs="宋体"/>
          <w:sz w:val="24"/>
        </w:rPr>
        <w:t>成交供应商</w:t>
      </w:r>
      <w:r>
        <w:rPr>
          <w:rFonts w:hint="eastAsia" w:ascii="宋体" w:hAnsi="宋体" w:cs="宋体"/>
          <w:color w:val="000000"/>
          <w:sz w:val="24"/>
        </w:rPr>
        <w:t>不得另行订立背离合同实质性内容的其它协议。</w:t>
      </w:r>
    </w:p>
    <w:p>
      <w:pPr>
        <w:pStyle w:val="3"/>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7" w:name="_Toc511132637"/>
      <w:bookmarkStart w:id="58" w:name="_Toc105496493"/>
      <w:bookmarkStart w:id="59" w:name="_Toc68963468"/>
      <w:r>
        <w:rPr>
          <w:rFonts w:hint="eastAsia" w:ascii="宋体" w:hAnsi="宋体" w:eastAsia="宋体" w:cs="宋体"/>
          <w:color w:val="000000"/>
          <w:sz w:val="24"/>
          <w:szCs w:val="24"/>
        </w:rPr>
        <w:t>第三章  合同条件、格式</w:t>
      </w:r>
      <w:bookmarkEnd w:id="57"/>
      <w:bookmarkEnd w:id="58"/>
    </w:p>
    <w:p>
      <w:pPr>
        <w:tabs>
          <w:tab w:val="left" w:pos="8040"/>
        </w:tabs>
        <w:autoSpaceDE w:val="0"/>
        <w:autoSpaceDN w:val="0"/>
        <w:adjustRightInd w:val="0"/>
        <w:spacing w:line="360" w:lineRule="auto"/>
        <w:ind w:right="-23" w:firstLine="481" w:firstLineChars="200"/>
        <w:jc w:val="center"/>
        <w:rPr>
          <w:rFonts w:hint="eastAsia" w:ascii="宋体" w:hAnsi="宋体" w:cs="宋体"/>
          <w:b/>
          <w:sz w:val="24"/>
        </w:rPr>
      </w:pPr>
      <w:r>
        <w:rPr>
          <w:rFonts w:hint="eastAsia" w:ascii="宋体" w:hAnsi="宋体" w:cs="宋体"/>
          <w:b/>
          <w:sz w:val="24"/>
        </w:rPr>
        <w:t>(此合同格式仅供参考，最终合同内容以甲乙双方协商为准)</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 xml:space="preserve">                                              合同编号：   </w:t>
      </w:r>
    </w:p>
    <w:p>
      <w:pPr>
        <w:spacing w:line="400" w:lineRule="exact"/>
        <w:rPr>
          <w:rFonts w:hint="eastAsia" w:ascii="宋体" w:hAnsi="宋体" w:cs="宋体"/>
          <w:sz w:val="24"/>
        </w:rPr>
      </w:pPr>
    </w:p>
    <w:p>
      <w:pPr>
        <w:snapToGrid w:val="0"/>
        <w:spacing w:before="312"/>
        <w:jc w:val="center"/>
        <w:rPr>
          <w:rFonts w:hint="eastAsia" w:ascii="宋体" w:hAnsi="宋体" w:cs="宋体"/>
          <w:sz w:val="24"/>
        </w:rPr>
      </w:pPr>
    </w:p>
    <w:p>
      <w:pPr>
        <w:tabs>
          <w:tab w:val="left" w:pos="3106"/>
          <w:tab w:val="center" w:pos="4822"/>
        </w:tabs>
        <w:snapToGrid w:val="0"/>
        <w:spacing w:line="560" w:lineRule="exact"/>
        <w:jc w:val="center"/>
        <w:rPr>
          <w:rFonts w:hint="eastAsia" w:ascii="宋体" w:hAnsi="宋体" w:cs="宋体"/>
          <w:sz w:val="32"/>
          <w:szCs w:val="32"/>
        </w:rPr>
      </w:pPr>
      <w:r>
        <w:rPr>
          <w:rFonts w:hint="eastAsia" w:ascii="宋体" w:hAnsi="宋体" w:cs="宋体"/>
          <w:sz w:val="32"/>
          <w:szCs w:val="32"/>
        </w:rPr>
        <w:t>北京市城市管理委员会</w:t>
      </w:r>
    </w:p>
    <w:p>
      <w:pPr>
        <w:snapToGrid w:val="0"/>
        <w:spacing w:line="560" w:lineRule="exact"/>
        <w:jc w:val="center"/>
        <w:rPr>
          <w:rFonts w:hint="eastAsia" w:ascii="宋体" w:hAnsi="宋体" w:eastAsia="宋体" w:cs="宋体"/>
          <w:sz w:val="32"/>
          <w:szCs w:val="32"/>
        </w:rPr>
      </w:pPr>
      <w:r>
        <w:rPr>
          <w:rFonts w:hint="eastAsia" w:ascii="宋体" w:hAnsi="宋体" w:eastAsia="宋体" w:cs="宋体"/>
          <w:sz w:val="32"/>
          <w:szCs w:val="32"/>
          <w:lang w:eastAsia="zh-CN"/>
        </w:rPr>
        <w:t>固体废弃物管理服务</w:t>
      </w:r>
      <w:r>
        <w:rPr>
          <w:rFonts w:hint="eastAsia" w:ascii="宋体" w:hAnsi="宋体" w:eastAsia="宋体" w:cs="宋体"/>
          <w:sz w:val="32"/>
          <w:szCs w:val="32"/>
          <w:lang w:val="en-US" w:eastAsia="zh-CN"/>
        </w:rPr>
        <w:t>-2025年</w:t>
      </w:r>
      <w:r>
        <w:rPr>
          <w:rFonts w:hint="eastAsia" w:ascii="宋体" w:hAnsi="宋体" w:eastAsia="宋体" w:cs="宋体"/>
          <w:sz w:val="32"/>
          <w:szCs w:val="32"/>
        </w:rPr>
        <w:t>北京市可回收物运行情况</w:t>
      </w:r>
    </w:p>
    <w:p>
      <w:pPr>
        <w:snapToGrid w:val="0"/>
        <w:spacing w:line="560" w:lineRule="exact"/>
        <w:jc w:val="center"/>
        <w:rPr>
          <w:rFonts w:hint="eastAsia" w:ascii="宋体" w:hAnsi="宋体" w:cs="宋体"/>
          <w:sz w:val="32"/>
          <w:szCs w:val="32"/>
        </w:rPr>
      </w:pPr>
      <w:r>
        <w:rPr>
          <w:rFonts w:hint="eastAsia" w:ascii="宋体" w:hAnsi="宋体" w:eastAsia="宋体" w:cs="宋体"/>
          <w:sz w:val="32"/>
          <w:szCs w:val="32"/>
        </w:rPr>
        <w:t>调查服务项</w:t>
      </w:r>
      <w:r>
        <w:rPr>
          <w:rFonts w:hint="eastAsia" w:ascii="宋体" w:hAnsi="宋体" w:cs="宋体"/>
          <w:sz w:val="32"/>
          <w:szCs w:val="32"/>
        </w:rPr>
        <w:t>目合同书</w:t>
      </w:r>
    </w:p>
    <w:p>
      <w:pPr>
        <w:snapToGrid w:val="0"/>
        <w:spacing w:line="360" w:lineRule="auto"/>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adjustRightInd w:val="0"/>
        <w:snapToGrid w:val="0"/>
        <w:spacing w:line="480" w:lineRule="auto"/>
        <w:ind w:left="2636" w:leftChars="684" w:hanging="1200" w:hangingChars="500"/>
        <w:rPr>
          <w:rFonts w:hint="eastAsia" w:ascii="宋体" w:hAnsi="宋体" w:cs="宋体"/>
          <w:sz w:val="24"/>
          <w:u w:val="single"/>
        </w:rPr>
      </w:pPr>
      <w:r>
        <w:rPr>
          <w:rFonts w:hint="eastAsia" w:ascii="宋体" w:hAnsi="宋体" w:cs="宋体"/>
          <w:sz w:val="24"/>
        </w:rPr>
        <w:t>项目名称：</w:t>
      </w:r>
      <w:r>
        <w:rPr>
          <w:rFonts w:hint="eastAsia" w:ascii="宋体" w:hAnsi="宋体" w:eastAsia="宋体" w:cs="宋体"/>
          <w:b w:val="0"/>
          <w:sz w:val="24"/>
          <w:szCs w:val="24"/>
          <w:u w:val="single"/>
          <w:lang w:eastAsia="zh-CN"/>
        </w:rPr>
        <w:t>固体废弃物管理服务</w:t>
      </w:r>
      <w:r>
        <w:rPr>
          <w:rFonts w:hint="eastAsia" w:ascii="宋体" w:hAnsi="宋体" w:eastAsia="宋体" w:cs="宋体"/>
          <w:b w:val="0"/>
          <w:sz w:val="24"/>
          <w:szCs w:val="24"/>
          <w:u w:val="single"/>
          <w:lang w:val="en-US" w:eastAsia="zh-CN"/>
        </w:rPr>
        <w:t>-2025年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p>
    <w:p>
      <w:pPr>
        <w:adjustRightInd w:val="0"/>
        <w:snapToGrid w:val="0"/>
        <w:spacing w:line="480" w:lineRule="auto"/>
        <w:ind w:firstLine="1440" w:firstLineChars="600"/>
        <w:rPr>
          <w:rFonts w:hint="eastAsia" w:ascii="宋体" w:hAnsi="宋体" w:cs="宋体"/>
          <w:sz w:val="24"/>
          <w:u w:val="single"/>
        </w:rPr>
      </w:pPr>
      <w:r>
        <w:rPr>
          <w:rFonts w:hint="eastAsia" w:ascii="宋体" w:hAnsi="宋体" w:cs="宋体"/>
          <w:sz w:val="24"/>
        </w:rPr>
        <w:t>委托单位（甲方）：</w:t>
      </w:r>
      <w:r>
        <w:rPr>
          <w:rFonts w:hint="eastAsia" w:ascii="宋体" w:hAnsi="宋体" w:cs="宋体"/>
          <w:sz w:val="24"/>
          <w:u w:val="single"/>
        </w:rPr>
        <w:t>北京市城市管理委员会</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 xml:space="preserve">承担单位（乙方）： </w:t>
      </w:r>
      <w:r>
        <w:rPr>
          <w:rFonts w:hint="eastAsia" w:ascii="宋体" w:hAnsi="宋体" w:cs="宋体"/>
          <w:sz w:val="24"/>
          <w:u w:val="single"/>
        </w:rPr>
        <w:t>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签署日期：20</w:t>
      </w:r>
      <w:r>
        <w:rPr>
          <w:rFonts w:ascii="宋体" w:hAnsi="宋体" w:cs="宋体"/>
          <w:sz w:val="24"/>
        </w:rPr>
        <w:t>2X</w:t>
      </w:r>
      <w:r>
        <w:rPr>
          <w:rFonts w:hint="eastAsia" w:ascii="宋体" w:hAnsi="宋体" w:cs="宋体"/>
          <w:sz w:val="24"/>
        </w:rPr>
        <w:t>年    月    日</w:t>
      </w:r>
    </w:p>
    <w:bookmarkEnd w:id="59"/>
    <w:p>
      <w:pPr>
        <w:pStyle w:val="53"/>
        <w:jc w:val="both"/>
        <w:rPr>
          <w:rFonts w:hint="eastAsia" w:ascii="宋体" w:hAnsi="宋体" w:eastAsia="宋体" w:cs="宋体"/>
          <w:szCs w:val="24"/>
        </w:rPr>
      </w:pPr>
    </w:p>
    <w:p>
      <w:pPr>
        <w:pStyle w:val="53"/>
        <w:jc w:val="center"/>
        <w:rPr>
          <w:rFonts w:ascii="宋体" w:hAnsi="宋体" w:eastAsia="宋体" w:cs="宋体"/>
          <w:szCs w:val="24"/>
        </w:rPr>
      </w:pPr>
    </w:p>
    <w:p>
      <w:pPr>
        <w:pStyle w:val="53"/>
        <w:jc w:val="center"/>
        <w:rPr>
          <w:rFonts w:hint="eastAsia" w:ascii="宋体" w:hAnsi="宋体" w:eastAsia="宋体" w:cs="宋体"/>
          <w:szCs w:val="24"/>
        </w:rPr>
      </w:pPr>
    </w:p>
    <w:p>
      <w:pPr>
        <w:pStyle w:val="53"/>
        <w:jc w:val="center"/>
        <w:rPr>
          <w:rFonts w:hint="eastAsia" w:ascii="宋体" w:hAnsi="宋体" w:eastAsia="宋体" w:cs="宋体"/>
          <w:szCs w:val="24"/>
          <w:lang w:eastAsia="zh-CN"/>
        </w:rPr>
      </w:pPr>
      <w:r>
        <w:rPr>
          <w:rFonts w:ascii="宋体" w:hAnsi="宋体" w:eastAsia="宋体" w:cs="宋体"/>
          <w:szCs w:val="24"/>
        </w:rPr>
        <w:br w:type="page"/>
      </w:r>
      <w:r>
        <w:rPr>
          <w:rFonts w:hint="eastAsia" w:ascii="宋体" w:hAnsi="宋体" w:eastAsia="宋体" w:cs="宋体"/>
          <w:szCs w:val="24"/>
        </w:rPr>
        <w:t>项目</w:t>
      </w:r>
      <w:r>
        <w:rPr>
          <w:rFonts w:hint="eastAsia" w:ascii="宋体" w:hAnsi="宋体" w:eastAsia="宋体" w:cs="宋体"/>
          <w:szCs w:val="24"/>
          <w:lang w:eastAsia="zh-CN"/>
        </w:rPr>
        <w:t>合同</w:t>
      </w:r>
      <w:r>
        <w:rPr>
          <w:rFonts w:hint="eastAsia" w:ascii="宋体" w:hAnsi="宋体" w:eastAsia="宋体" w:cs="宋体"/>
          <w:szCs w:val="24"/>
        </w:rPr>
        <w:t>书填写说明</w:t>
      </w:r>
    </w:p>
    <w:p>
      <w:pPr>
        <w:pStyle w:val="53"/>
        <w:jc w:val="center"/>
        <w:rPr>
          <w:rFonts w:hint="eastAsia" w:ascii="宋体" w:hAnsi="宋体" w:eastAsia="宋体" w:cs="宋体"/>
          <w:b/>
          <w:szCs w:val="24"/>
          <w:lang w:eastAsia="zh-CN"/>
        </w:rPr>
      </w:pPr>
    </w:p>
    <w:p>
      <w:pPr>
        <w:pStyle w:val="15"/>
        <w:spacing w:line="500" w:lineRule="exact"/>
        <w:ind w:firstLine="480" w:firstLineChars="200"/>
        <w:rPr>
          <w:rFonts w:hint="eastAsia" w:ascii="宋体" w:hAnsi="宋体" w:cs="宋体"/>
          <w:sz w:val="24"/>
        </w:rPr>
      </w:pPr>
      <w:r>
        <w:rPr>
          <w:rFonts w:hint="eastAsia" w:ascii="宋体" w:hAnsi="宋体" w:cs="宋体"/>
          <w:sz w:val="24"/>
        </w:rPr>
        <w:t>1.本合同书系北京市城市管理委员会（以下简称“市城市管理委”）为管理由市城市管理委立项、并由北京市财政拨款支持的市城市管理委研究项目而制定。“甲方”为</w:t>
      </w:r>
      <w:r>
        <w:rPr>
          <w:rFonts w:hint="eastAsia" w:ascii="宋体" w:hAnsi="宋体" w:cs="宋体"/>
          <w:sz w:val="24"/>
          <w:lang w:val="en-US" w:eastAsia="zh-CN"/>
        </w:rPr>
        <w:t>北京</w:t>
      </w:r>
      <w:r>
        <w:rPr>
          <w:rFonts w:hint="eastAsia" w:ascii="宋体" w:hAnsi="宋体" w:cs="宋体"/>
          <w:sz w:val="24"/>
        </w:rPr>
        <w:t>市城市管理委</w:t>
      </w:r>
      <w:r>
        <w:rPr>
          <w:rFonts w:hint="eastAsia" w:ascii="宋体" w:hAnsi="宋体" w:cs="宋体"/>
          <w:sz w:val="24"/>
          <w:lang w:eastAsia="zh-CN"/>
        </w:rPr>
        <w:t>员会</w:t>
      </w:r>
      <w:r>
        <w:rPr>
          <w:rFonts w:hint="eastAsia" w:ascii="宋体" w:hAnsi="宋体" w:cs="宋体"/>
          <w:sz w:val="24"/>
        </w:rPr>
        <w:t>，“乙方”为项目承担单位。</w:t>
      </w:r>
    </w:p>
    <w:p>
      <w:pPr>
        <w:pStyle w:val="15"/>
        <w:spacing w:line="500" w:lineRule="exact"/>
        <w:ind w:firstLine="480" w:firstLineChars="200"/>
        <w:rPr>
          <w:rFonts w:hint="eastAsia" w:ascii="宋体" w:hAnsi="宋体" w:cs="宋体"/>
          <w:sz w:val="24"/>
        </w:rPr>
      </w:pPr>
      <w:r>
        <w:rPr>
          <w:rFonts w:hint="eastAsia" w:ascii="宋体" w:hAnsi="宋体" w:cs="宋体"/>
          <w:sz w:val="24"/>
        </w:rPr>
        <w:t>2.本合同书填写内容涉及到名称，要写清全称。不填内容的栏目，均用“──”表示。确认所填信息完整无误后直接打印（A4）。要求双面打印，左侧装订。</w:t>
      </w:r>
    </w:p>
    <w:p>
      <w:pPr>
        <w:pStyle w:val="15"/>
        <w:spacing w:line="500" w:lineRule="exact"/>
        <w:ind w:firstLine="480" w:firstLineChars="200"/>
        <w:rPr>
          <w:rFonts w:hint="eastAsia" w:ascii="宋体" w:hAnsi="宋体" w:cs="宋体"/>
          <w:sz w:val="24"/>
        </w:rPr>
      </w:pPr>
      <w:r>
        <w:rPr>
          <w:rFonts w:hint="eastAsia" w:ascii="宋体" w:hAnsi="宋体" w:cs="宋体"/>
          <w:sz w:val="24"/>
        </w:rPr>
        <w:t>3.本合同书一式四份以上，其中市城市管理委三份；项目承担单位所需份数视实际情况而定。上报时附电子版一份。</w:t>
      </w:r>
    </w:p>
    <w:p>
      <w:pPr>
        <w:pStyle w:val="15"/>
        <w:spacing w:line="500" w:lineRule="exact"/>
        <w:ind w:firstLine="480" w:firstLineChars="200"/>
        <w:rPr>
          <w:rFonts w:hint="eastAsia" w:ascii="宋体" w:hAnsi="宋体" w:cs="宋体"/>
          <w:sz w:val="24"/>
        </w:rPr>
      </w:pPr>
      <w:r>
        <w:rPr>
          <w:rFonts w:hint="eastAsia" w:ascii="宋体" w:hAnsi="宋体" w:cs="宋体"/>
          <w:sz w:val="24"/>
        </w:rPr>
        <w:t>4.本合同书“密级”和“编号”由市城市管理委确定。</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r>
        <w:rPr>
          <w:rFonts w:hint="eastAsia" w:ascii="宋体" w:hAnsi="宋体" w:cs="宋体"/>
          <w:b/>
          <w:sz w:val="24"/>
        </w:rPr>
        <w:t>通用条款</w:t>
      </w:r>
    </w:p>
    <w:p>
      <w:pPr>
        <w:widowControl/>
        <w:spacing w:line="440" w:lineRule="exact"/>
        <w:jc w:val="center"/>
        <w:rPr>
          <w:rFonts w:hint="eastAsia" w:ascii="宋体" w:hAnsi="宋体" w:cs="宋体"/>
          <w:b/>
          <w:sz w:val="24"/>
        </w:rPr>
      </w:pPr>
    </w:p>
    <w:p>
      <w:pPr>
        <w:widowControl/>
        <w:spacing w:line="360" w:lineRule="auto"/>
        <w:ind w:firstLine="481" w:firstLineChars="200"/>
        <w:rPr>
          <w:rFonts w:hint="eastAsia" w:ascii="宋体" w:hAnsi="宋体" w:cs="宋体"/>
          <w:b/>
          <w:bCs/>
          <w:color w:val="000000"/>
          <w:spacing w:val="21"/>
          <w:kern w:val="0"/>
          <w:sz w:val="24"/>
        </w:rPr>
      </w:pPr>
      <w:r>
        <w:rPr>
          <w:rFonts w:hint="eastAsia" w:ascii="宋体" w:hAnsi="宋体" w:cs="宋体"/>
          <w:b/>
          <w:sz w:val="24"/>
        </w:rPr>
        <w:t xml:space="preserve">1  </w:t>
      </w:r>
      <w:r>
        <w:rPr>
          <w:rFonts w:hint="eastAsia" w:ascii="宋体" w:hAnsi="宋体" w:cs="宋体"/>
          <w:b/>
          <w:bCs/>
          <w:color w:val="000000"/>
          <w:spacing w:val="21"/>
          <w:kern w:val="0"/>
          <w:sz w:val="24"/>
        </w:rPr>
        <w:t>总则</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甲、乙</w:t>
      </w:r>
      <w:r>
        <w:rPr>
          <w:rFonts w:hint="eastAsia" w:ascii="宋体" w:hAnsi="宋体" w:cs="宋体"/>
          <w:sz w:val="24"/>
        </w:rPr>
        <w:t>双方本着平等、自愿、有偿、诚实信用的原则，</w:t>
      </w:r>
      <w:r>
        <w:rPr>
          <w:rFonts w:hint="eastAsia" w:ascii="宋体" w:hAnsi="宋体" w:cs="宋体"/>
          <w:kern w:val="0"/>
          <w:sz w:val="24"/>
        </w:rPr>
        <w:t>就乙方为甲方提供技术咨询服务事宜，经协商一致，依据我国有关法律法规的规定，</w:t>
      </w:r>
      <w:r>
        <w:rPr>
          <w:rFonts w:hint="eastAsia" w:ascii="宋体" w:hAnsi="宋体" w:cs="宋体"/>
          <w:sz w:val="24"/>
        </w:rPr>
        <w:t>签订本合同</w:t>
      </w:r>
      <w:r>
        <w:rPr>
          <w:rFonts w:hint="eastAsia" w:ascii="宋体" w:hAnsi="宋体" w:cs="宋体"/>
          <w:kern w:val="0"/>
          <w:sz w:val="24"/>
        </w:rPr>
        <w:t>，并由双方共同遵守。</w:t>
      </w:r>
    </w:p>
    <w:p>
      <w:pPr>
        <w:spacing w:line="360" w:lineRule="auto"/>
        <w:ind w:firstLine="481" w:firstLineChars="200"/>
        <w:outlineLvl w:val="0"/>
        <w:rPr>
          <w:rFonts w:hint="eastAsia" w:ascii="宋体" w:hAnsi="宋体" w:cs="宋体"/>
          <w:b/>
          <w:bCs/>
          <w:color w:val="000000"/>
          <w:sz w:val="24"/>
        </w:rPr>
      </w:pPr>
      <w:bookmarkStart w:id="60" w:name="_Toc105496494"/>
      <w:bookmarkStart w:id="61" w:name="_Toc511132638"/>
      <w:r>
        <w:rPr>
          <w:rFonts w:hint="eastAsia" w:ascii="宋体" w:hAnsi="宋体" w:cs="宋体"/>
          <w:b/>
          <w:kern w:val="0"/>
          <w:sz w:val="24"/>
        </w:rPr>
        <w:t xml:space="preserve">2  </w:t>
      </w:r>
      <w:r>
        <w:rPr>
          <w:rFonts w:hint="eastAsia" w:ascii="宋体" w:hAnsi="宋体" w:cs="宋体"/>
          <w:b/>
          <w:bCs/>
          <w:color w:val="000000"/>
          <w:sz w:val="24"/>
        </w:rPr>
        <w:t>项目内容</w:t>
      </w:r>
      <w:bookmarkEnd w:id="60"/>
      <w:bookmarkEnd w:id="6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项目概况、目标、范围、执行标准、委托内容、委托要求等项目相关约定见专用条款。</w:t>
      </w:r>
    </w:p>
    <w:p>
      <w:pPr>
        <w:spacing w:line="360" w:lineRule="auto"/>
        <w:ind w:firstLine="481" w:firstLineChars="200"/>
        <w:jc w:val="left"/>
        <w:outlineLvl w:val="0"/>
        <w:rPr>
          <w:rFonts w:hint="eastAsia" w:ascii="宋体" w:hAnsi="宋体" w:cs="宋体"/>
          <w:b/>
          <w:bCs/>
          <w:color w:val="000000"/>
          <w:sz w:val="24"/>
        </w:rPr>
      </w:pPr>
      <w:bookmarkStart w:id="62" w:name="_Toc511132639"/>
      <w:bookmarkStart w:id="63" w:name="_Toc105496495"/>
      <w:r>
        <w:rPr>
          <w:rFonts w:hint="eastAsia" w:ascii="宋体" w:hAnsi="宋体" w:cs="宋体"/>
          <w:b/>
          <w:bCs/>
          <w:color w:val="000000"/>
          <w:sz w:val="24"/>
        </w:rPr>
        <w:t>3  服务费用及付款方式</w:t>
      </w:r>
      <w:bookmarkEnd w:id="62"/>
      <w:bookmarkEnd w:id="63"/>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本项目服务费用及付款方式见专用条款。</w:t>
      </w:r>
    </w:p>
    <w:p>
      <w:pPr>
        <w:spacing w:line="360" w:lineRule="auto"/>
        <w:ind w:firstLine="481" w:firstLineChars="200"/>
        <w:outlineLvl w:val="0"/>
        <w:rPr>
          <w:rFonts w:hint="eastAsia" w:ascii="宋体" w:hAnsi="宋体" w:cs="宋体"/>
          <w:b/>
          <w:bCs/>
          <w:sz w:val="24"/>
        </w:rPr>
      </w:pPr>
      <w:bookmarkStart w:id="64" w:name="_Toc105496496"/>
      <w:bookmarkStart w:id="65" w:name="_Toc511132640"/>
      <w:r>
        <w:rPr>
          <w:rFonts w:hint="eastAsia" w:ascii="宋体" w:hAnsi="宋体" w:cs="宋体"/>
          <w:b/>
          <w:bCs/>
          <w:sz w:val="24"/>
        </w:rPr>
        <w:t xml:space="preserve">4  </w:t>
      </w:r>
      <w:r>
        <w:rPr>
          <w:rFonts w:hint="eastAsia" w:ascii="宋体" w:hAnsi="宋体" w:cs="宋体"/>
          <w:b/>
          <w:sz w:val="24"/>
        </w:rPr>
        <w:t>甲乙双方权利与义务</w:t>
      </w:r>
      <w:bookmarkEnd w:id="64"/>
      <w:bookmarkEnd w:id="65"/>
    </w:p>
    <w:p>
      <w:pPr>
        <w:spacing w:line="360" w:lineRule="auto"/>
        <w:ind w:firstLine="480" w:firstLineChars="200"/>
        <w:jc w:val="left"/>
        <w:rPr>
          <w:rFonts w:hint="eastAsia" w:ascii="宋体" w:hAnsi="宋体" w:cs="宋体"/>
          <w:bCs/>
          <w:color w:val="000000"/>
          <w:sz w:val="24"/>
        </w:rPr>
      </w:pPr>
      <w:bookmarkStart w:id="66" w:name="_Toc511132641"/>
      <w:r>
        <w:rPr>
          <w:rFonts w:hint="eastAsia" w:ascii="宋体" w:hAnsi="宋体" w:cs="宋体"/>
          <w:bCs/>
          <w:color w:val="000000"/>
          <w:sz w:val="24"/>
        </w:rPr>
        <w:t>4.1  甲方的权利与义务</w:t>
      </w:r>
      <w:bookmarkEnd w:id="66"/>
    </w:p>
    <w:p>
      <w:pPr>
        <w:pStyle w:val="61"/>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 xml:space="preserve">4.1.1  </w:t>
      </w:r>
      <w:r>
        <w:rPr>
          <w:rFonts w:hint="eastAsia" w:cs="宋体"/>
          <w:color w:val="000000"/>
          <w:sz w:val="24"/>
          <w:szCs w:val="24"/>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Pr>
          <w:rFonts w:hint="eastAsia" w:cs="宋体"/>
          <w:color w:val="000000"/>
          <w:sz w:val="24"/>
          <w:szCs w:val="24"/>
          <w:lang w:eastAsia="zh-CN"/>
        </w:rPr>
        <w:t>，但完成项目所需经费不予增加</w:t>
      </w:r>
      <w:r>
        <w:rPr>
          <w:rFonts w:hint="eastAsia" w:cs="宋体"/>
          <w:color w:val="000000"/>
          <w:sz w:val="24"/>
          <w:szCs w:val="24"/>
        </w:rPr>
        <w:t>。</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2</w:t>
      </w:r>
      <w:r>
        <w:rPr>
          <w:rFonts w:hint="eastAsia" w:cs="宋体"/>
          <w:color w:val="000000"/>
          <w:sz w:val="24"/>
          <w:szCs w:val="24"/>
          <w:lang w:eastAsia="zh-CN"/>
        </w:rPr>
        <w:t xml:space="preserve">  </w:t>
      </w:r>
      <w:r>
        <w:rPr>
          <w:rFonts w:hint="eastAsia" w:cs="宋体"/>
          <w:color w:val="000000"/>
          <w:sz w:val="24"/>
          <w:szCs w:val="24"/>
        </w:rPr>
        <w:t>甲方有权组织或委托有关机构对本项目进行评估。甲方可</w:t>
      </w:r>
      <w:r>
        <w:rPr>
          <w:rFonts w:hint="eastAsia" w:cs="宋体"/>
          <w:color w:val="000000"/>
          <w:sz w:val="24"/>
          <w:szCs w:val="24"/>
          <w:lang w:eastAsia="zh-CN"/>
        </w:rPr>
        <w:t>参</w:t>
      </w:r>
      <w:r>
        <w:rPr>
          <w:rFonts w:hint="eastAsia" w:cs="宋体"/>
          <w:color w:val="000000"/>
          <w:sz w:val="24"/>
          <w:szCs w:val="24"/>
        </w:rPr>
        <w:t>照该评估结果决定调整或撤销项目，甲方有权视具体情况要求乙方部分或者全部归还所拨经费和物资，并不承担任何违约责任。</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3</w:t>
      </w:r>
      <w:r>
        <w:rPr>
          <w:rFonts w:hint="eastAsia" w:cs="宋体"/>
          <w:color w:val="000000"/>
          <w:sz w:val="24"/>
          <w:szCs w:val="24"/>
          <w:lang w:eastAsia="zh-CN"/>
        </w:rPr>
        <w:t xml:space="preserve">  </w:t>
      </w:r>
      <w:r>
        <w:rPr>
          <w:rFonts w:hint="eastAsia" w:cs="宋体"/>
          <w:snapToGrid w:val="0"/>
          <w:kern w:val="0"/>
          <w:sz w:val="24"/>
          <w:szCs w:val="24"/>
          <w:lang w:eastAsia="zh-CN"/>
        </w:rPr>
        <w:t>甲方</w:t>
      </w:r>
      <w:r>
        <w:rPr>
          <w:rFonts w:hint="eastAsia" w:cs="宋体"/>
          <w:snapToGrid w:val="0"/>
          <w:kern w:val="0"/>
          <w:sz w:val="24"/>
          <w:szCs w:val="24"/>
        </w:rPr>
        <w:t>有对乙方履行合同情况进行指导、监督、检查的权利</w:t>
      </w:r>
      <w:r>
        <w:rPr>
          <w:rFonts w:hint="eastAsia" w:cs="宋体"/>
          <w:sz w:val="24"/>
          <w:szCs w:val="24"/>
          <w:lang w:eastAsia="zh-CN"/>
        </w:rPr>
        <w:t>，</w:t>
      </w:r>
      <w:r>
        <w:rPr>
          <w:rFonts w:hint="eastAsia" w:cs="宋体"/>
          <w:color w:val="000000"/>
          <w:sz w:val="24"/>
          <w:szCs w:val="24"/>
        </w:rPr>
        <w:t>甲方可根据需要，随时抽查乙方项目进展情况，乙方应予以配合。</w:t>
      </w:r>
    </w:p>
    <w:p>
      <w:pPr>
        <w:pStyle w:val="61"/>
        <w:spacing w:line="360" w:lineRule="auto"/>
        <w:ind w:firstLine="480" w:firstLineChars="200"/>
        <w:rPr>
          <w:rFonts w:hint="eastAsia" w:cs="宋体"/>
          <w:color w:val="000000"/>
          <w:sz w:val="24"/>
          <w:szCs w:val="24"/>
        </w:rPr>
      </w:pPr>
      <w:r>
        <w:rPr>
          <w:rFonts w:hint="eastAsia" w:cs="宋体"/>
          <w:color w:val="000000"/>
          <w:sz w:val="24"/>
          <w:szCs w:val="24"/>
        </w:rPr>
        <w:t>4</w:t>
      </w:r>
      <w:r>
        <w:rPr>
          <w:rFonts w:hint="eastAsia" w:cs="宋体"/>
          <w:color w:val="000000"/>
          <w:sz w:val="24"/>
          <w:szCs w:val="24"/>
          <w:lang w:eastAsia="zh-CN"/>
        </w:rPr>
        <w:t xml:space="preserve">.1.4  </w:t>
      </w:r>
      <w:r>
        <w:rPr>
          <w:rFonts w:hint="eastAsia" w:cs="宋体"/>
          <w:snapToGrid w:val="0"/>
          <w:kern w:val="0"/>
          <w:sz w:val="24"/>
          <w:szCs w:val="24"/>
        </w:rPr>
        <w:t>甲方有要求乙方在约定期限内提交符合合同约定条件的</w:t>
      </w:r>
      <w:r>
        <w:rPr>
          <w:rFonts w:hint="eastAsia" w:cs="宋体"/>
          <w:snapToGrid w:val="0"/>
          <w:kern w:val="0"/>
          <w:sz w:val="24"/>
          <w:szCs w:val="24"/>
          <w:lang w:eastAsia="zh-CN"/>
        </w:rPr>
        <w:t>项目</w:t>
      </w:r>
      <w:r>
        <w:rPr>
          <w:rFonts w:hint="eastAsia" w:cs="宋体"/>
          <w:snapToGrid w:val="0"/>
          <w:kern w:val="0"/>
          <w:sz w:val="24"/>
          <w:szCs w:val="24"/>
        </w:rPr>
        <w:t>成果的权利。</w:t>
      </w:r>
      <w:r>
        <w:rPr>
          <w:rFonts w:hint="eastAsia" w:cs="宋体"/>
          <w:color w:val="000000"/>
          <w:sz w:val="24"/>
          <w:szCs w:val="24"/>
        </w:rPr>
        <w:t>甲方有权组织相关专家对项目成果进行评审、验收。</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5</w:t>
      </w:r>
      <w:r>
        <w:rPr>
          <w:rFonts w:hint="eastAsia" w:cs="宋体"/>
          <w:color w:val="000000"/>
          <w:sz w:val="24"/>
          <w:szCs w:val="24"/>
          <w:lang w:eastAsia="zh-CN"/>
        </w:rPr>
        <w:t xml:space="preserve">  </w:t>
      </w:r>
      <w:r>
        <w:rPr>
          <w:rFonts w:hint="eastAsia" w:cs="宋体"/>
          <w:color w:val="000000"/>
          <w:sz w:val="24"/>
          <w:szCs w:val="24"/>
        </w:rPr>
        <w:t>甲方有权要求乙方更换甲方认为不称职的工作人员，乙方应在接到甲方</w:t>
      </w:r>
      <w:r>
        <w:rPr>
          <w:rFonts w:hint="eastAsia" w:cs="宋体"/>
          <w:color w:val="000000"/>
          <w:sz w:val="24"/>
          <w:szCs w:val="24"/>
          <w:lang w:eastAsia="zh-CN"/>
        </w:rPr>
        <w:t>书面</w:t>
      </w:r>
      <w:r>
        <w:rPr>
          <w:rFonts w:hint="eastAsia" w:cs="宋体"/>
          <w:color w:val="000000"/>
          <w:sz w:val="24"/>
          <w:szCs w:val="24"/>
        </w:rPr>
        <w:t>要求后_</w:t>
      </w:r>
      <w:r>
        <w:rPr>
          <w:rFonts w:hint="eastAsia" w:cs="宋体"/>
          <w:color w:val="000000"/>
          <w:sz w:val="24"/>
          <w:szCs w:val="24"/>
          <w:lang w:eastAsia="zh-CN"/>
        </w:rPr>
        <w:t>15</w:t>
      </w:r>
      <w:r>
        <w:rPr>
          <w:rFonts w:hint="eastAsia" w:cs="宋体"/>
          <w:color w:val="000000"/>
          <w:sz w:val="24"/>
          <w:szCs w:val="24"/>
        </w:rPr>
        <w:t>_日内更换经甲方认可的工作人员。</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6</w:t>
      </w:r>
      <w:r>
        <w:rPr>
          <w:rFonts w:hint="eastAsia" w:cs="宋体"/>
          <w:color w:val="000000"/>
          <w:sz w:val="24"/>
          <w:szCs w:val="24"/>
          <w:lang w:eastAsia="zh-CN"/>
        </w:rPr>
        <w:t xml:space="preserve">  </w:t>
      </w:r>
      <w:r>
        <w:rPr>
          <w:rFonts w:hint="eastAsia" w:cs="宋体"/>
          <w:color w:val="000000"/>
          <w:sz w:val="24"/>
          <w:szCs w:val="24"/>
        </w:rPr>
        <w:t>甲方有权视情况随时终止本项目，解除本合同，但如乙方无违约行为，甲方应按照已经发生的实际工作量支付乙方报酬。</w:t>
      </w:r>
    </w:p>
    <w:p>
      <w:pPr>
        <w:pStyle w:val="61"/>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4.1.</w:t>
      </w:r>
      <w:r>
        <w:rPr>
          <w:rFonts w:hint="eastAsia" w:cs="宋体"/>
          <w:color w:val="000000"/>
          <w:sz w:val="24"/>
          <w:szCs w:val="24"/>
        </w:rPr>
        <w:t>7</w:t>
      </w:r>
      <w:r>
        <w:rPr>
          <w:rFonts w:hint="eastAsia" w:cs="宋体"/>
          <w:color w:val="000000"/>
          <w:sz w:val="24"/>
          <w:szCs w:val="24"/>
          <w:lang w:eastAsia="zh-CN"/>
        </w:rPr>
        <w:t xml:space="preserve">  </w:t>
      </w:r>
      <w:r>
        <w:rPr>
          <w:rFonts w:hint="eastAsia" w:cs="宋体"/>
          <w:color w:val="000000"/>
          <w:sz w:val="24"/>
          <w:szCs w:val="24"/>
        </w:rPr>
        <w:t>甲方应当及时按合同约定及审计</w:t>
      </w:r>
      <w:r>
        <w:rPr>
          <w:rFonts w:hint="eastAsia" w:cs="宋体"/>
          <w:color w:val="000000"/>
          <w:sz w:val="24"/>
          <w:szCs w:val="24"/>
          <w:lang w:eastAsia="zh-CN"/>
        </w:rPr>
        <w:t>机构</w:t>
      </w:r>
      <w:r>
        <w:rPr>
          <w:rFonts w:hint="eastAsia" w:cs="宋体"/>
          <w:color w:val="000000"/>
          <w:sz w:val="24"/>
          <w:szCs w:val="24"/>
        </w:rPr>
        <w:t>的评审</w:t>
      </w:r>
      <w:r>
        <w:rPr>
          <w:rFonts w:hint="eastAsia" w:cs="宋体"/>
          <w:color w:val="000000"/>
          <w:sz w:val="24"/>
          <w:szCs w:val="24"/>
          <w:lang w:eastAsia="zh-CN"/>
        </w:rPr>
        <w:t>结果</w:t>
      </w:r>
      <w:r>
        <w:rPr>
          <w:rFonts w:hint="eastAsia" w:cs="宋体"/>
          <w:color w:val="000000"/>
          <w:sz w:val="24"/>
          <w:szCs w:val="24"/>
        </w:rPr>
        <w:t>向乙方核拨项目经费。</w:t>
      </w:r>
    </w:p>
    <w:p>
      <w:pPr>
        <w:spacing w:line="360" w:lineRule="auto"/>
        <w:ind w:firstLine="480" w:firstLineChars="200"/>
        <w:jc w:val="left"/>
        <w:rPr>
          <w:rFonts w:hint="eastAsia" w:ascii="宋体" w:hAnsi="宋体" w:cs="宋体"/>
          <w:bCs/>
          <w:color w:val="000000"/>
          <w:sz w:val="24"/>
        </w:rPr>
      </w:pPr>
      <w:bookmarkStart w:id="67" w:name="_Toc511132642"/>
      <w:r>
        <w:rPr>
          <w:rFonts w:hint="eastAsia" w:ascii="宋体" w:hAnsi="宋体" w:cs="宋体"/>
          <w:bCs/>
          <w:color w:val="000000"/>
          <w:sz w:val="24"/>
        </w:rPr>
        <w:t>4.2  乙方的权利与义务</w:t>
      </w:r>
      <w:bookmarkEnd w:id="6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4.2.1  </w:t>
      </w:r>
      <w:r>
        <w:rPr>
          <w:rFonts w:hint="eastAsia" w:ascii="宋体" w:hAnsi="宋体" w:cs="宋体"/>
          <w:sz w:val="24"/>
        </w:rPr>
        <w:t>乙方应按照甲方相关管理文件中的有关规定</w:t>
      </w:r>
      <w:r>
        <w:rPr>
          <w:rFonts w:hint="eastAsia" w:ascii="宋体" w:hAnsi="宋体" w:cs="宋体"/>
          <w:color w:val="000000"/>
          <w:sz w:val="24"/>
        </w:rPr>
        <w:t>对项目经费进行管理，单独核算，应当按合同规定的开支范围，实行专款专用，不得挪用；并按本合同规定，支付自筹的经费（如项目需要的）。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4.2.2  负责本项目的组织实施，按时高质地完成本合同约定的工作任务，并有义务对甲方组织的管理工作（如监理、评估）提供支持。</w:t>
      </w:r>
      <w:r>
        <w:rPr>
          <w:rFonts w:hint="eastAsia" w:ascii="宋体" w:hAnsi="宋体" w:cs="宋体"/>
          <w:snapToGrid w:val="0"/>
          <w:kern w:val="0"/>
          <w:sz w:val="24"/>
        </w:rPr>
        <w:t>接受甲方及甲方其他专家顾问的指导，有按甲方要求和安排修改完善项目成果的义务。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4.2.3  本项目在实施过程中如果取得重大进展、重要突破或发生其它重大事情，应及时向甲方报告，与本项目有关的一切问题最终均由甲方决定；如果因遭遇不可抗力因素或其它原因影响本项目的执行，致使项目需要调整或者撤</w:t>
      </w:r>
      <w:r>
        <w:rPr>
          <w:rFonts w:hint="eastAsia" w:ascii="宋体" w:hAnsi="宋体" w:cs="宋体"/>
          <w:color w:val="000000"/>
          <w:sz w:val="24"/>
          <w:lang w:val="en-US" w:eastAsia="zh-CN"/>
        </w:rPr>
        <w:t>销</w:t>
      </w:r>
      <w:r>
        <w:rPr>
          <w:rFonts w:hint="eastAsia" w:ascii="宋体" w:hAnsi="宋体" w:cs="宋体"/>
          <w:color w:val="000000"/>
          <w:sz w:val="24"/>
        </w:rPr>
        <w:t>时，乙方应当及时向甲方提交书面报告，经甲方确定处理意见后执行。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4.2.4  如项目需要乙方自筹资金的，乙方不能自筹足够的资金，影响项目的完成或不履行合同或不能保证项目所拨经费专款专用，甲方有权责令乙方部分或全部退还所拨经费和物资。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4.2.5  乙方必须保证合同中的项目负责人及主要参加人员的相对稳定，在合同执行过程中，如遇特殊原因需变动者，乙方须提出申请，经甲方</w:t>
      </w:r>
      <w:r>
        <w:rPr>
          <w:rFonts w:hint="eastAsia" w:cs="宋体" w:asciiTheme="minorEastAsia" w:hAnsiTheme="minorEastAsia" w:eastAsiaTheme="minorEastAsia"/>
          <w:color w:val="000000"/>
          <w:sz w:val="24"/>
          <w:szCs w:val="24"/>
        </w:rPr>
        <w:t>书面</w:t>
      </w:r>
      <w:r>
        <w:rPr>
          <w:rFonts w:hint="eastAsia" w:ascii="宋体" w:hAnsi="宋体" w:cs="宋体"/>
          <w:color w:val="000000"/>
          <w:sz w:val="24"/>
        </w:rPr>
        <w:t>同意方可变动，否则，按乙方违约处理。</w:t>
      </w:r>
    </w:p>
    <w:p>
      <w:pPr>
        <w:widowControl/>
        <w:spacing w:line="360" w:lineRule="auto"/>
        <w:ind w:firstLine="480" w:firstLineChars="200"/>
        <w:rPr>
          <w:rFonts w:hint="eastAsia" w:ascii="宋体" w:hAnsi="宋体" w:cs="宋体"/>
          <w:sz w:val="24"/>
        </w:rPr>
      </w:pPr>
      <w:r>
        <w:rPr>
          <w:rFonts w:hint="eastAsia" w:ascii="宋体" w:hAnsi="宋体" w:cs="宋体"/>
          <w:color w:val="000000"/>
          <w:sz w:val="24"/>
        </w:rPr>
        <w:t xml:space="preserve">4.2.6  </w:t>
      </w:r>
      <w:r>
        <w:rPr>
          <w:rFonts w:hint="eastAsia" w:ascii="宋体" w:hAnsi="宋体" w:cs="宋体"/>
          <w:snapToGrid w:val="0"/>
          <w:kern w:val="0"/>
          <w:sz w:val="24"/>
        </w:rPr>
        <w:t>在甲方许可下有要求有关方面提供必要资料和配合工作的权利。</w:t>
      </w:r>
      <w:r>
        <w:rPr>
          <w:rFonts w:hint="eastAsia" w:ascii="宋体" w:hAnsi="宋体" w:cs="宋体"/>
          <w:sz w:val="24"/>
        </w:rPr>
        <w:t>乙方要求甲方提供</w:t>
      </w:r>
      <w:r>
        <w:rPr>
          <w:rFonts w:hint="eastAsia" w:ascii="宋体" w:hAnsi="宋体" w:cs="宋体"/>
          <w:color w:val="000000"/>
          <w:sz w:val="24"/>
        </w:rPr>
        <w:t>必要</w:t>
      </w:r>
      <w:r>
        <w:rPr>
          <w:rFonts w:hint="eastAsia" w:ascii="宋体" w:hAnsi="宋体" w:cs="宋体"/>
          <w:sz w:val="24"/>
        </w:rPr>
        <w:t>的技术资料、工作条件与协助事项的，应事先列明清单，并经甲方认可。合同终止后或甲方要求时，乙方应及时返还甲方。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4.2.7  乙方应对</w:t>
      </w:r>
      <w:r>
        <w:rPr>
          <w:rFonts w:hint="eastAsia" w:ascii="宋体" w:hAnsi="宋体" w:cs="宋体"/>
          <w:snapToGrid w:val="0"/>
          <w:kern w:val="0"/>
          <w:sz w:val="24"/>
        </w:rPr>
        <w:t>在合同履行过程中知悉的以及</w:t>
      </w:r>
      <w:r>
        <w:rPr>
          <w:rFonts w:hint="eastAsia" w:ascii="宋体" w:hAnsi="宋体" w:cs="宋体"/>
          <w:color w:val="000000"/>
          <w:sz w:val="24"/>
        </w:rPr>
        <w:t>甲方提供的</w:t>
      </w:r>
      <w:r>
        <w:rPr>
          <w:rFonts w:hint="eastAsia" w:ascii="宋体" w:hAnsi="宋体" w:cs="宋体"/>
          <w:snapToGrid w:val="0"/>
          <w:kern w:val="0"/>
          <w:sz w:val="24"/>
        </w:rPr>
        <w:t>技术情报、资料、数据、信息</w:t>
      </w:r>
      <w:r>
        <w:rPr>
          <w:rFonts w:hint="eastAsia" w:ascii="宋体" w:hAnsi="宋体" w:cs="宋体"/>
          <w:color w:val="000000"/>
          <w:sz w:val="24"/>
        </w:rPr>
        <w:t>等承担保密义务，不得泄露给第三方或挪作他用。该保密义务不因合同的变更、解除或终止而免除。合同终止或甲方要求时，及时归还甲方。如有必要，双方应签订《保密协议》。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4.2.8  乙方应利用自己的设备和技术知识等独立、按时完成项目工作。未经甲方事先书面同意，不得转让、转包、分包本项目部分或全部内容给任何第三人。如确需转包、分包，须经甲方事先书面同意，乙方应将相关协议提交甲方备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4.2.9  乙方应按本合同书约定的进度完成本项目，按本合同书提交阶段性成果，并每</w:t>
      </w:r>
      <w:r>
        <w:rPr>
          <w:rFonts w:hint="eastAsia" w:ascii="宋体" w:hAnsi="宋体" w:cs="宋体"/>
          <w:color w:val="000000"/>
          <w:sz w:val="24"/>
          <w:u w:val="single"/>
        </w:rPr>
        <w:t xml:space="preserve">  </w:t>
      </w:r>
      <w:r>
        <w:rPr>
          <w:rFonts w:hint="eastAsia" w:ascii="宋体" w:hAnsi="宋体" w:cs="宋体"/>
          <w:color w:val="000000"/>
          <w:sz w:val="24"/>
        </w:rPr>
        <w:t>个月提交一份项目执行情况报告，当本项目完成时，负责准备项目验收所需的有关材料。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4.2.10  甲方或有关机构对本项目进行验收、评估、审计的，乙方应积极配合。</w:t>
      </w:r>
    </w:p>
    <w:p>
      <w:pPr>
        <w:spacing w:line="360" w:lineRule="auto"/>
        <w:ind w:firstLine="481" w:firstLineChars="200"/>
        <w:outlineLvl w:val="0"/>
        <w:rPr>
          <w:rFonts w:hint="eastAsia" w:ascii="宋体" w:hAnsi="宋体" w:cs="宋体"/>
          <w:b/>
          <w:color w:val="000000"/>
          <w:sz w:val="24"/>
        </w:rPr>
      </w:pPr>
      <w:bookmarkStart w:id="68" w:name="_Toc105496497"/>
      <w:bookmarkStart w:id="69" w:name="_Toc511132643"/>
      <w:r>
        <w:rPr>
          <w:rFonts w:hint="eastAsia" w:ascii="宋体" w:hAnsi="宋体" w:cs="宋体"/>
          <w:b/>
          <w:color w:val="000000"/>
          <w:sz w:val="24"/>
        </w:rPr>
        <w:t>5  知识产权条款</w:t>
      </w:r>
      <w:bookmarkEnd w:id="68"/>
      <w:bookmarkEnd w:id="6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乙方完成本项目取得的成果的知识产权归甲方所有，如著作、论文、研究报告等，甲方有权自己使用、引用、发表、向第三方转让等。乙方享有署名权，非经甲方事先书面同意，不得自行使用项目成果及其内容或者将其提供给第三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  本项目过程中产生的项目成果以及甲方在该项目成果的基础上完成的新成果归甲方所有。乙方在该项目成果的基础上完成的新成果归乙方所有，但乙方转让或寻求合作时，甲方有优先权。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乙方保证在履行合同的过程中，不得侵犯任何第三方的合法权益，如知识产权等，否则须承担由此产生的全部责任，并赔偿甲方因此受到的损失。</w:t>
      </w:r>
    </w:p>
    <w:p>
      <w:pPr>
        <w:spacing w:line="360" w:lineRule="auto"/>
        <w:ind w:firstLine="481" w:firstLineChars="200"/>
        <w:outlineLvl w:val="0"/>
        <w:rPr>
          <w:rFonts w:hint="eastAsia" w:ascii="宋体" w:hAnsi="宋体" w:cs="宋体"/>
          <w:b/>
          <w:color w:val="000000"/>
          <w:sz w:val="24"/>
        </w:rPr>
      </w:pPr>
      <w:bookmarkStart w:id="70" w:name="_Toc105496498"/>
      <w:bookmarkStart w:id="71" w:name="_Toc511132644"/>
      <w:r>
        <w:rPr>
          <w:rFonts w:hint="eastAsia" w:ascii="宋体" w:hAnsi="宋体" w:cs="宋体"/>
          <w:b/>
          <w:color w:val="000000"/>
          <w:sz w:val="24"/>
        </w:rPr>
        <w:t>6  验收条款</w:t>
      </w:r>
      <w:bookmarkEnd w:id="70"/>
      <w:bookmarkEnd w:id="71"/>
    </w:p>
    <w:p>
      <w:pPr>
        <w:spacing w:line="360" w:lineRule="auto"/>
        <w:ind w:firstLine="480" w:firstLineChars="200"/>
        <w:rPr>
          <w:rFonts w:hint="eastAsia" w:ascii="宋体" w:hAnsi="宋体" w:cs="宋体"/>
          <w:sz w:val="24"/>
        </w:rPr>
      </w:pPr>
      <w:r>
        <w:rPr>
          <w:rFonts w:hint="eastAsia" w:ascii="宋体" w:hAnsi="宋体" w:cs="宋体"/>
          <w:sz w:val="24"/>
        </w:rPr>
        <w:t>6.1  项目进行期间，甲方有权视情况对乙方项目进程以及阶段性成果进行评估，并根据评估结果，甲方有权作出以下任一决定，乙方均表示认可。乙方如有违约行为，以下决定并不排除乙方违约责任的承担。</w:t>
      </w:r>
    </w:p>
    <w:p>
      <w:pPr>
        <w:spacing w:line="360" w:lineRule="auto"/>
        <w:ind w:firstLine="480" w:firstLineChars="200"/>
        <w:rPr>
          <w:rFonts w:hint="eastAsia" w:ascii="宋体" w:hAnsi="宋体" w:cs="宋体"/>
          <w:sz w:val="24"/>
        </w:rPr>
      </w:pPr>
      <w:r>
        <w:rPr>
          <w:rFonts w:hint="eastAsia" w:ascii="宋体" w:hAnsi="宋体" w:cs="宋体"/>
          <w:sz w:val="24"/>
        </w:rPr>
        <w:t>6.1.1  认可乙方工作；</w:t>
      </w:r>
    </w:p>
    <w:p>
      <w:pPr>
        <w:spacing w:line="360" w:lineRule="auto"/>
        <w:ind w:firstLine="480" w:firstLineChars="200"/>
        <w:rPr>
          <w:rFonts w:hint="eastAsia" w:ascii="宋体" w:hAnsi="宋体" w:cs="宋体"/>
          <w:b/>
          <w:color w:val="000000"/>
          <w:sz w:val="24"/>
        </w:rPr>
      </w:pPr>
      <w:r>
        <w:rPr>
          <w:rFonts w:hint="eastAsia" w:ascii="宋体" w:hAnsi="宋体" w:cs="宋体"/>
          <w:sz w:val="24"/>
        </w:rPr>
        <w:t>6.1.2  出具项目整改意见要求乙方整改；</w:t>
      </w:r>
    </w:p>
    <w:p>
      <w:pPr>
        <w:pStyle w:val="29"/>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6.1.3  终止本合同，按照乙方实际工作数量和质量支付工作报酬</w:t>
      </w:r>
      <w:r>
        <w:rPr>
          <w:rFonts w:hint="eastAsia" w:ascii="宋体" w:hAnsi="宋体" w:eastAsia="宋体" w:cs="宋体"/>
          <w:lang w:eastAsia="zh-CN"/>
        </w:rPr>
        <w:t>。</w:t>
      </w:r>
    </w:p>
    <w:p>
      <w:pPr>
        <w:pStyle w:val="29"/>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6.2  项目如需初验，乙方按照本合同及附件要求提交项目初步成果，甲方初验后，乙方根据甲方的意见对项目初步成果进行修改并按期提交修改后的项目成果进行项目终验。</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  项目终验。</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6.3.1  项目成果提交后，甲方有权组织专家对项目成果进行专家评审。专家评审小组根据合同约定、项目需求等对项目成果进行评审，并出具评审意见书。对包含大量实地调研或问卷调研的项目，乙方应同时向甲方提供相应的原始调研资料及上述材料的电子文件。</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6.3.2  项目成果如需修改，乙方应根据甲方及专家评审意见对项目成果进行修改完善，直至甲方满意为止。甲方对项目成果认可后，参照专家评审意见出具项目验收证书，项目视为最终验收合格。</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 xml:space="preserve">6.4  </w:t>
      </w:r>
      <w:r>
        <w:rPr>
          <w:rFonts w:hint="eastAsia" w:ascii="宋体" w:hAnsi="宋体" w:eastAsia="宋体"/>
        </w:rPr>
        <w:t>质量保证期相关要求</w:t>
      </w:r>
      <w:r>
        <w:rPr>
          <w:rFonts w:hint="eastAsia" w:ascii="宋体" w:hAnsi="宋体" w:eastAsia="宋体" w:cs="宋体"/>
        </w:rPr>
        <w:t>见专用条款。</w:t>
      </w:r>
    </w:p>
    <w:p>
      <w:pPr>
        <w:spacing w:line="360" w:lineRule="auto"/>
        <w:ind w:firstLine="481" w:firstLineChars="200"/>
        <w:outlineLvl w:val="0"/>
        <w:rPr>
          <w:rFonts w:hint="eastAsia" w:ascii="宋体" w:hAnsi="宋体" w:cs="宋体"/>
          <w:b/>
          <w:color w:val="000000"/>
          <w:sz w:val="24"/>
        </w:rPr>
      </w:pPr>
      <w:bookmarkStart w:id="72" w:name="_Toc105496499"/>
      <w:bookmarkStart w:id="73" w:name="_Toc511132645"/>
      <w:r>
        <w:rPr>
          <w:rFonts w:hint="eastAsia" w:ascii="宋体" w:hAnsi="宋体" w:cs="宋体"/>
          <w:b/>
          <w:color w:val="000000"/>
          <w:sz w:val="24"/>
        </w:rPr>
        <w:t>7  违约责任</w:t>
      </w:r>
      <w:bookmarkEnd w:id="72"/>
      <w:bookmarkEnd w:id="7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7.1  </w:t>
      </w:r>
      <w:r>
        <w:rPr>
          <w:rFonts w:hint="eastAsia" w:cs="宋体" w:asciiTheme="minorEastAsia" w:hAnsiTheme="minorEastAsia" w:eastAsiaTheme="minorEastAsia"/>
          <w:color w:val="000000"/>
          <w:sz w:val="24"/>
          <w:szCs w:val="24"/>
        </w:rPr>
        <w:t>除本合同另有约定外，</w:t>
      </w:r>
      <w:r>
        <w:rPr>
          <w:rFonts w:hint="eastAsia" w:ascii="宋体" w:hAnsi="宋体" w:cs="宋体"/>
          <w:color w:val="000000"/>
          <w:sz w:val="24"/>
        </w:rPr>
        <w:t>乙方违反合同约定义务的，经甲方催告后</w:t>
      </w:r>
      <w:r>
        <w:rPr>
          <w:rFonts w:hint="eastAsia" w:ascii="宋体" w:hAnsi="宋体" w:cs="宋体"/>
          <w:color w:val="000000"/>
          <w:sz w:val="24"/>
          <w:u w:val="single"/>
        </w:rPr>
        <w:t xml:space="preserve">    </w:t>
      </w:r>
      <w:r>
        <w:rPr>
          <w:rFonts w:hint="eastAsia" w:ascii="宋体" w:hAnsi="宋体" w:cs="宋体"/>
          <w:color w:val="000000"/>
          <w:sz w:val="24"/>
        </w:rPr>
        <w:t>日内仍未整改或整改后仍不符合合同约定的，应向甲方支付合同金额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  乙方未按合同约定履行合同义务的，延迟一日须向甲方支付合同金额</w:t>
      </w:r>
      <w:r>
        <w:rPr>
          <w:rFonts w:hint="eastAsia" w:ascii="宋体" w:hAnsi="宋体" w:cs="宋体"/>
          <w:color w:val="000000"/>
          <w:sz w:val="24"/>
          <w:u w:val="single"/>
        </w:rPr>
        <w:t xml:space="preserve">    </w:t>
      </w:r>
      <w:r>
        <w:rPr>
          <w:rFonts w:hint="eastAsia" w:ascii="宋体" w:hAnsi="宋体" w:cs="宋体"/>
          <w:color w:val="000000"/>
          <w:sz w:val="24"/>
        </w:rPr>
        <w:t>‰的延迟履行违约金，延迟超过</w:t>
      </w:r>
      <w:r>
        <w:rPr>
          <w:rFonts w:hint="eastAsia" w:ascii="宋体" w:hAnsi="宋体" w:cs="宋体"/>
          <w:color w:val="000000"/>
          <w:sz w:val="24"/>
          <w:u w:val="single"/>
        </w:rPr>
        <w:t xml:space="preserve">    </w:t>
      </w:r>
      <w:r>
        <w:rPr>
          <w:rFonts w:hint="eastAsia" w:ascii="宋体" w:hAnsi="宋体" w:cs="宋体"/>
          <w:color w:val="000000"/>
          <w:sz w:val="24"/>
        </w:rPr>
        <w:t>日，甲方有权单方解除合同，要求乙方移交全部资料及未完成成果，支付甲方合同金额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%的违约金，违约金不足以弥补甲方损失（包括但不限于直接、间接损失、律师费、诉讼费等）的，乙方应予以补足，并保留追究的权利。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乙方违反合同有关的保密、知识产权约定的，应向甲方支付合同金额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乙方交付的项目成果未能通过甲方验收、出现错误或质量缺陷的，乙方应支付甲方合同金额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%的违约金，违约金不足以弥补甲方损失（包括但不限于直接、间接损失、律师费、诉讼费等）的，乙方应予以补足。同时，甲方有权单方解除本合同，要求乙方返还已付款项。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  乙方在履行合同过程中故意弄虚作假的，如虚构编造调查材料、违反学术规范、道德等，应向甲方支付合同金额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7.6  乙方违反本</w:t>
      </w:r>
      <w:r>
        <w:rPr>
          <w:rFonts w:hint="eastAsia" w:ascii="宋体" w:hAnsi="宋体" w:cs="宋体"/>
          <w:color w:val="000000"/>
          <w:sz w:val="24"/>
          <w:lang w:val="en-US" w:eastAsia="zh-CN"/>
        </w:rPr>
        <w:t>合同</w:t>
      </w:r>
      <w:r>
        <w:rPr>
          <w:rFonts w:hint="eastAsia" w:ascii="宋体" w:hAnsi="宋体" w:cs="宋体"/>
          <w:color w:val="000000"/>
          <w:sz w:val="24"/>
        </w:rPr>
        <w:t>有关单独核算、专款专用等经费管理约定的，甲方有权单方解除协议，要求乙方移交全部资料及成果（包括未完成部分），并应向甲方支付合同金额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w:t>
      </w:r>
    </w:p>
    <w:p>
      <w:pPr>
        <w:adjustRightInd/>
        <w:snapToGrid/>
        <w:spacing w:after="0" w:line="600" w:lineRule="exact"/>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7.7</w:t>
      </w:r>
      <w:r>
        <w:rPr>
          <w:rFonts w:hint="eastAsia" w:cs="宋体" w:asciiTheme="minorEastAsia" w:hAnsiTheme="minorEastAsia" w:eastAsiaTheme="minorEastAsia"/>
          <w:color w:val="000000"/>
          <w:sz w:val="24"/>
          <w:szCs w:val="24"/>
        </w:rPr>
        <w:t>因乙方违反本合同约定而需要向甲方支付的任何费用（包括但不限于损失赔偿费用、违约金等），甲方均有权在向乙方支付合同款项时予以扣除。</w:t>
      </w:r>
    </w:p>
    <w:p>
      <w:pPr>
        <w:spacing w:after="0" w:line="600" w:lineRule="exact"/>
        <w:ind w:firstLine="480" w:firstLineChars="200"/>
        <w:rPr>
          <w:rFonts w:hint="eastAsia" w:cs="宋体" w:asciiTheme="minorEastAsia" w:hAnsiTheme="minorEastAsia" w:eastAsiaTheme="minorEastAsia"/>
          <w:color w:val="000000"/>
          <w:sz w:val="24"/>
        </w:rPr>
      </w:pPr>
      <w:r>
        <w:rPr>
          <w:rFonts w:cs="宋体" w:asciiTheme="minorEastAsia" w:hAnsiTheme="minorEastAsia" w:eastAsiaTheme="minorEastAsia"/>
          <w:color w:val="000000"/>
          <w:sz w:val="24"/>
          <w:szCs w:val="24"/>
        </w:rPr>
        <w:t>7.8</w:t>
      </w:r>
      <w:r>
        <w:rPr>
          <w:rFonts w:hint="eastAsia" w:cs="宋体" w:asciiTheme="minorEastAsia" w:hAnsiTheme="minorEastAsia" w:eastAsiaTheme="minorEastAsia"/>
          <w:color w:val="000000"/>
          <w:sz w:val="24"/>
          <w:szCs w:val="24"/>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pPr>
        <w:pStyle w:val="15"/>
        <w:spacing w:line="600" w:lineRule="exact"/>
        <w:ind w:firstLine="440"/>
        <w:jc w:val="left"/>
        <w:rPr>
          <w:rFonts w:hint="eastAsia" w:cs="宋体" w:asciiTheme="minorEastAsia" w:hAnsiTheme="minorEastAsia" w:eastAsiaTheme="minorEastAsia"/>
          <w:color w:val="000000"/>
          <w:kern w:val="2"/>
          <w:sz w:val="24"/>
          <w:szCs w:val="24"/>
        </w:rPr>
      </w:pPr>
      <w:r>
        <w:rPr>
          <w:rFonts w:hint="eastAsia" w:cs="宋体" w:asciiTheme="minorEastAsia" w:hAnsiTheme="minorEastAsia" w:eastAsiaTheme="minorEastAsia"/>
          <w:color w:val="000000"/>
          <w:kern w:val="2"/>
          <w:sz w:val="24"/>
          <w:szCs w:val="24"/>
        </w:rPr>
        <w:t>7.9 因乙方违约导致甲方解除本合同的，乙方应当自收到解除通知书起【】日内，将基于本合同所取得的全部款项全额退还甲方。</w:t>
      </w:r>
    </w:p>
    <w:p>
      <w:pPr>
        <w:pStyle w:val="15"/>
        <w:rPr>
          <w:rFonts w:hint="eastAsia"/>
        </w:rPr>
      </w:pPr>
    </w:p>
    <w:p>
      <w:pPr>
        <w:spacing w:line="360" w:lineRule="auto"/>
        <w:ind w:firstLine="481" w:firstLineChars="200"/>
        <w:outlineLvl w:val="0"/>
        <w:rPr>
          <w:rFonts w:hint="eastAsia" w:ascii="宋体" w:hAnsi="宋体" w:cs="宋体"/>
          <w:color w:val="000000"/>
          <w:sz w:val="24"/>
        </w:rPr>
      </w:pPr>
      <w:bookmarkStart w:id="74" w:name="_Toc105496500"/>
      <w:bookmarkStart w:id="75" w:name="_Toc511132646"/>
      <w:r>
        <w:rPr>
          <w:rFonts w:hint="eastAsia" w:ascii="宋体" w:hAnsi="宋体" w:cs="宋体"/>
          <w:b/>
          <w:color w:val="000000"/>
          <w:sz w:val="24"/>
        </w:rPr>
        <w:t>8  不可抗力</w:t>
      </w:r>
      <w:bookmarkEnd w:id="74"/>
      <w:bookmarkEnd w:id="7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有不可抗力的事故发生，发生方应立刻将所发生的不可抗力的事故情况以书面形式通知另一方，并在</w:t>
      </w:r>
      <w:r>
        <w:rPr>
          <w:rFonts w:hint="eastAsia" w:ascii="宋体" w:hAnsi="宋体" w:cs="宋体"/>
          <w:color w:val="000000"/>
          <w:sz w:val="24"/>
          <w:u w:val="single"/>
        </w:rPr>
        <w:t xml:space="preserve">    </w:t>
      </w:r>
      <w:r>
        <w:rPr>
          <w:rFonts w:hint="eastAsia" w:ascii="宋体" w:hAnsi="宋体" w:cs="宋体"/>
          <w:color w:val="000000"/>
          <w:sz w:val="24"/>
        </w:rPr>
        <w:t>日内将有权机关出具的证明文件提交另一方认可。</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8.3  发生不可抗力的，双方应积极采取措施避免损失的进一步扩大，否则须就损失扩大的部分承担赔偿责任。一方延迟履行期间发生不可抗力的，不免除责任。</w:t>
      </w:r>
    </w:p>
    <w:p>
      <w:pPr>
        <w:spacing w:line="360" w:lineRule="auto"/>
        <w:ind w:firstLine="481" w:firstLineChars="200"/>
        <w:outlineLvl w:val="0"/>
        <w:rPr>
          <w:rFonts w:hint="eastAsia" w:ascii="宋体" w:hAnsi="宋体" w:cs="宋体"/>
          <w:b/>
          <w:color w:val="000000"/>
          <w:sz w:val="24"/>
        </w:rPr>
      </w:pPr>
      <w:bookmarkStart w:id="76" w:name="_Toc105496501"/>
      <w:bookmarkStart w:id="77" w:name="_Toc511132647"/>
      <w:r>
        <w:rPr>
          <w:rFonts w:hint="eastAsia" w:ascii="宋体" w:hAnsi="宋体" w:cs="宋体"/>
          <w:b/>
          <w:color w:val="000000"/>
          <w:sz w:val="24"/>
        </w:rPr>
        <w:t>9  争议解决条款</w:t>
      </w:r>
      <w:bookmarkEnd w:id="76"/>
      <w:bookmarkEnd w:id="7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对本合同履行过程中发生的一切争议，双方应本着平等互利的原则协商解决，协商不成的，双方选择以下第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9.2</w:t>
      </w:r>
      <w:r>
        <w:rPr>
          <w:rFonts w:hint="eastAsia" w:ascii="宋体" w:hAnsi="宋体" w:cs="宋体"/>
          <w:color w:val="000000"/>
          <w:sz w:val="24"/>
          <w:u w:val="single"/>
        </w:rPr>
        <w:t xml:space="preserve">  </w:t>
      </w:r>
      <w:r>
        <w:rPr>
          <w:rFonts w:hint="eastAsia" w:ascii="宋体" w:hAnsi="宋体" w:cs="宋体"/>
          <w:color w:val="000000"/>
          <w:sz w:val="24"/>
        </w:rPr>
        <w:t>种争议解决方式：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由北京市仲裁委员会仲裁。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向甲方所在地人民法院起诉。</w:t>
      </w:r>
    </w:p>
    <w:p>
      <w:pPr>
        <w:tabs>
          <w:tab w:val="left" w:pos="54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10  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本合同任何一方给另一方的通知，都应以书面形式发送到本合同确认的对方明确地址，</w:t>
      </w:r>
      <w:r>
        <w:rPr>
          <w:rFonts w:hint="eastAsia" w:ascii="宋体" w:hAnsi="宋体" w:cs="宋体"/>
          <w:snapToGrid w:val="0"/>
          <w:color w:val="000000"/>
          <w:kern w:val="0"/>
          <w:sz w:val="24"/>
        </w:rPr>
        <w:t>送达时间以下列规定为准：</w:t>
      </w:r>
    </w:p>
    <w:p>
      <w:pPr>
        <w:spacing w:line="360" w:lineRule="auto"/>
        <w:ind w:firstLine="480" w:firstLineChars="200"/>
        <w:outlineLvl w:val="0"/>
        <w:rPr>
          <w:rFonts w:hint="eastAsia" w:ascii="宋体" w:hAnsi="宋体" w:cs="宋体"/>
          <w:snapToGrid w:val="0"/>
          <w:color w:val="000000"/>
          <w:kern w:val="0"/>
          <w:sz w:val="24"/>
        </w:rPr>
      </w:pPr>
      <w:bookmarkStart w:id="78" w:name="_Toc511132648"/>
      <w:bookmarkStart w:id="79" w:name="_Toc105496502"/>
      <w:r>
        <w:rPr>
          <w:rFonts w:hint="eastAsia" w:ascii="宋体" w:hAnsi="宋体" w:cs="宋体"/>
          <w:snapToGrid w:val="0"/>
          <w:color w:val="000000"/>
          <w:kern w:val="0"/>
          <w:sz w:val="24"/>
        </w:rPr>
        <w:t>10.1.1  专人</w:t>
      </w:r>
      <w:r>
        <w:rPr>
          <w:rFonts w:hint="eastAsia" w:ascii="宋体" w:hAnsi="宋体" w:cs="宋体"/>
          <w:color w:val="000000"/>
          <w:kern w:val="0"/>
          <w:sz w:val="24"/>
        </w:rPr>
        <w:t>递送</w:t>
      </w:r>
      <w:r>
        <w:rPr>
          <w:rFonts w:hint="eastAsia" w:ascii="宋体" w:hAnsi="宋体" w:cs="宋体"/>
          <w:snapToGrid w:val="0"/>
          <w:color w:val="000000"/>
          <w:kern w:val="0"/>
          <w:sz w:val="24"/>
        </w:rPr>
        <w:t>之日视为送达之日；</w:t>
      </w:r>
      <w:bookmarkEnd w:id="78"/>
      <w:bookmarkEnd w:id="79"/>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10.1.2  邮递以邮政部门可以证明的收到日视为送达之日；</w:t>
      </w:r>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10.1.3  电子邮件、传真以顺利发出当天后的第一个工作日视为送达之日。</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10.2  一方以电子邮件或传真方式发送的通知，应在发送后，随即将原件以挂号邮寄或专人递送给对方。</w:t>
      </w:r>
    </w:p>
    <w:p>
      <w:pPr>
        <w:spacing w:line="360" w:lineRule="auto"/>
        <w:ind w:firstLine="480" w:firstLineChars="200"/>
        <w:rPr>
          <w:rFonts w:hint="eastAsia" w:ascii="宋体" w:hAnsi="宋体" w:cs="宋体"/>
          <w:color w:val="0000FF"/>
          <w:sz w:val="24"/>
        </w:rPr>
      </w:pPr>
      <w:r>
        <w:rPr>
          <w:rFonts w:hint="eastAsia" w:ascii="宋体" w:hAnsi="宋体" w:cs="宋体"/>
          <w:color w:val="000000"/>
          <w:sz w:val="24"/>
        </w:rPr>
        <w:t>10.3  任何一方地址、负责人、联系方式、银行账号等的变更均应自变更之日起</w:t>
      </w:r>
      <w:r>
        <w:rPr>
          <w:rFonts w:hint="eastAsia" w:ascii="宋体" w:hAnsi="宋体" w:cs="宋体"/>
          <w:bCs/>
          <w:color w:val="000000"/>
          <w:sz w:val="24"/>
        </w:rPr>
        <w:t>_</w:t>
      </w:r>
      <w:r>
        <w:rPr>
          <w:rFonts w:hint="eastAsia" w:ascii="宋体" w:hAnsi="宋体" w:cs="宋体"/>
          <w:bCs/>
          <w:color w:val="000000"/>
          <w:sz w:val="24"/>
          <w:u w:val="single"/>
        </w:rPr>
        <w:t>5</w:t>
      </w:r>
      <w:r>
        <w:rPr>
          <w:rFonts w:hint="eastAsia" w:ascii="宋体" w:hAnsi="宋体" w:cs="宋体"/>
          <w:bCs/>
          <w:color w:val="000000"/>
          <w:sz w:val="24"/>
        </w:rPr>
        <w:t>_</w:t>
      </w:r>
      <w:r>
        <w:rPr>
          <w:rFonts w:hint="eastAsia" w:ascii="宋体" w:hAnsi="宋体" w:cs="宋体"/>
          <w:color w:val="000000"/>
          <w:sz w:val="24"/>
        </w:rPr>
        <w:t>日内书面通知对方，否则，变更方应当承担不利后果，并赔偿给对方造成的损失。</w:t>
      </w:r>
    </w:p>
    <w:p>
      <w:pPr>
        <w:spacing w:line="360" w:lineRule="auto"/>
        <w:ind w:firstLine="481" w:firstLineChars="200"/>
        <w:outlineLvl w:val="0"/>
        <w:rPr>
          <w:rFonts w:hint="eastAsia" w:ascii="宋体" w:hAnsi="宋体" w:cs="宋体"/>
          <w:b/>
          <w:color w:val="000000"/>
          <w:sz w:val="24"/>
        </w:rPr>
      </w:pPr>
      <w:bookmarkStart w:id="80" w:name="_Toc511132649"/>
      <w:bookmarkStart w:id="81" w:name="_Toc105496503"/>
      <w:r>
        <w:rPr>
          <w:rFonts w:hint="eastAsia" w:ascii="宋体" w:hAnsi="宋体" w:cs="宋体"/>
          <w:b/>
          <w:color w:val="000000"/>
          <w:sz w:val="24"/>
        </w:rPr>
        <w:t>11  其它</w:t>
      </w:r>
      <w:bookmarkEnd w:id="80"/>
      <w:bookmarkEnd w:id="81"/>
    </w:p>
    <w:p>
      <w:pPr>
        <w:spacing w:line="360" w:lineRule="auto"/>
        <w:ind w:firstLine="480" w:firstLineChars="200"/>
        <w:rPr>
          <w:rFonts w:hint="eastAsia" w:ascii="宋体" w:hAnsi="宋体" w:cs="宋体"/>
          <w:bCs/>
          <w:color w:val="000000"/>
          <w:sz w:val="24"/>
        </w:rPr>
      </w:pPr>
      <w:r>
        <w:rPr>
          <w:rFonts w:hint="eastAsia" w:ascii="宋体" w:hAnsi="宋体" w:cs="宋体"/>
          <w:color w:val="000000"/>
          <w:sz w:val="24"/>
        </w:rPr>
        <w:t>11.1  本合同未尽事宜，由甲乙双方协商解决，</w:t>
      </w:r>
      <w:r>
        <w:rPr>
          <w:rFonts w:hint="eastAsia" w:ascii="宋体" w:hAnsi="宋体" w:cs="宋体"/>
          <w:bCs/>
          <w:color w:val="000000"/>
          <w:sz w:val="24"/>
        </w:rPr>
        <w:t>双方协商同意后应签订补充协议，补充协议自双方</w:t>
      </w:r>
      <w:r>
        <w:rPr>
          <w:rFonts w:hint="eastAsia" w:cs="宋体" w:asciiTheme="minorEastAsia" w:hAnsiTheme="minorEastAsia" w:eastAsiaTheme="minorEastAsia"/>
          <w:color w:val="000000"/>
          <w:sz w:val="24"/>
          <w:szCs w:val="24"/>
        </w:rPr>
        <w:t>法定代表人或者授权代表签字加盖双方单位公章</w:t>
      </w:r>
      <w:r>
        <w:rPr>
          <w:rFonts w:hint="eastAsia" w:ascii="宋体" w:hAnsi="宋体" w:cs="宋体"/>
          <w:bCs/>
          <w:color w:val="000000"/>
          <w:sz w:val="24"/>
        </w:rPr>
        <w:t>之日起生效。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本合同一式</w:t>
      </w:r>
      <w:r>
        <w:rPr>
          <w:rFonts w:hint="eastAsia" w:ascii="宋体" w:hAnsi="宋体" w:cs="宋体"/>
          <w:color w:val="000000"/>
          <w:sz w:val="24"/>
          <w:u w:val="single"/>
        </w:rPr>
        <w:t xml:space="preserve">    </w:t>
      </w:r>
      <w:r>
        <w:rPr>
          <w:rFonts w:hint="eastAsia" w:ascii="宋体" w:hAnsi="宋体" w:cs="宋体"/>
          <w:color w:val="000000"/>
          <w:sz w:val="24"/>
        </w:rPr>
        <w:t>份，甲方执</w:t>
      </w:r>
      <w:r>
        <w:rPr>
          <w:rFonts w:hint="eastAsia" w:ascii="宋体" w:hAnsi="宋体" w:cs="宋体"/>
          <w:color w:val="000000"/>
          <w:sz w:val="24"/>
          <w:u w:val="single"/>
        </w:rPr>
        <w:t xml:space="preserve">    </w:t>
      </w:r>
      <w:r>
        <w:rPr>
          <w:rFonts w:hint="eastAsia" w:ascii="宋体" w:hAnsi="宋体" w:cs="宋体"/>
          <w:color w:val="000000"/>
          <w:sz w:val="24"/>
        </w:rPr>
        <w:t>份，乙方执</w:t>
      </w:r>
      <w:r>
        <w:rPr>
          <w:rFonts w:hint="eastAsia" w:ascii="宋体" w:hAnsi="宋体" w:cs="宋体"/>
          <w:color w:val="000000"/>
          <w:sz w:val="24"/>
          <w:u w:val="single"/>
        </w:rPr>
        <w:t xml:space="preserve">    </w:t>
      </w:r>
      <w:r>
        <w:rPr>
          <w:rFonts w:hint="eastAsia" w:ascii="宋体" w:hAnsi="宋体" w:cs="宋体"/>
          <w:color w:val="000000"/>
          <w:sz w:val="24"/>
        </w:rPr>
        <w:t>份，具有同等法律效力。</w:t>
      </w:r>
    </w:p>
    <w:p>
      <w:pPr>
        <w:spacing w:line="360" w:lineRule="auto"/>
        <w:ind w:firstLine="480" w:firstLineChars="200"/>
        <w:rPr>
          <w:rFonts w:hint="eastAsia" w:ascii="宋体" w:hAnsi="宋体" w:cs="宋体"/>
          <w:sz w:val="24"/>
        </w:rPr>
      </w:pPr>
      <w:r>
        <w:rPr>
          <w:rFonts w:hint="eastAsia" w:ascii="宋体" w:hAnsi="宋体" w:cs="宋体"/>
          <w:color w:val="000000"/>
          <w:sz w:val="24"/>
        </w:rPr>
        <w:t>11.3  本合同自双方法定代表人或者授权代表签字并加盖双方单位公章之日起生效。</w:t>
      </w:r>
    </w:p>
    <w:p>
      <w:pPr>
        <w:pageBreakBefore/>
        <w:jc w:val="center"/>
        <w:rPr>
          <w:rFonts w:hint="eastAsia" w:ascii="宋体" w:hAnsi="宋体" w:cs="宋体"/>
          <w:b/>
          <w:bCs/>
          <w:sz w:val="24"/>
        </w:rPr>
      </w:pPr>
      <w:r>
        <w:rPr>
          <w:rFonts w:hint="eastAsia" w:ascii="宋体" w:hAnsi="宋体" w:cs="宋体"/>
          <w:b/>
          <w:bCs/>
          <w:sz w:val="24"/>
        </w:rPr>
        <w:t>专用条款</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合同专用条款是合同通用条款的补充和修改。如果两者之间有抵触，应以专用条款为准。</w:t>
      </w:r>
    </w:p>
    <w:p>
      <w:pPr>
        <w:spacing w:line="360" w:lineRule="auto"/>
        <w:ind w:firstLine="481" w:firstLineChars="200"/>
        <w:outlineLvl w:val="0"/>
        <w:rPr>
          <w:rFonts w:hint="eastAsia" w:ascii="宋体" w:hAnsi="宋体" w:cs="宋体"/>
          <w:b/>
          <w:bCs/>
          <w:color w:val="000000"/>
          <w:sz w:val="24"/>
        </w:rPr>
      </w:pPr>
      <w:bookmarkStart w:id="82" w:name="_Toc105496504"/>
      <w:bookmarkStart w:id="83" w:name="_Toc511132650"/>
      <w:r>
        <w:rPr>
          <w:rFonts w:hint="eastAsia" w:ascii="宋体" w:hAnsi="宋体" w:cs="宋体"/>
          <w:b/>
          <w:kern w:val="0"/>
          <w:sz w:val="24"/>
        </w:rPr>
        <w:t>2</w:t>
      </w:r>
      <w:r>
        <w:rPr>
          <w:rFonts w:hint="eastAsia" w:ascii="宋体" w:hAnsi="宋体" w:cs="宋体"/>
          <w:kern w:val="0"/>
          <w:sz w:val="24"/>
        </w:rPr>
        <w:t xml:space="preserve">  </w:t>
      </w:r>
      <w:r>
        <w:rPr>
          <w:rFonts w:hint="eastAsia" w:ascii="宋体" w:hAnsi="宋体" w:cs="宋体"/>
          <w:b/>
          <w:bCs/>
          <w:color w:val="000000"/>
          <w:sz w:val="24"/>
        </w:rPr>
        <w:t>项目内容</w:t>
      </w:r>
      <w:bookmarkEnd w:id="82"/>
      <w:bookmarkEnd w:id="83"/>
    </w:p>
    <w:p>
      <w:pPr>
        <w:spacing w:line="360" w:lineRule="auto"/>
        <w:ind w:left="2399" w:leftChars="228" w:hanging="1920" w:hangingChars="800"/>
        <w:rPr>
          <w:rFonts w:hint="eastAsia" w:ascii="宋体" w:hAnsi="宋体" w:cs="宋体"/>
          <w:bCs/>
          <w:color w:val="000000"/>
          <w:sz w:val="24"/>
        </w:rPr>
      </w:pPr>
      <w:r>
        <w:rPr>
          <w:rFonts w:hint="eastAsia" w:ascii="宋体" w:hAnsi="宋体" w:cs="宋体"/>
          <w:bCs/>
          <w:color w:val="000000"/>
          <w:sz w:val="24"/>
        </w:rPr>
        <w:t>2.1  项目名</w:t>
      </w:r>
      <w:r>
        <w:rPr>
          <w:rFonts w:hint="eastAsia" w:ascii="宋体" w:hAnsi="宋体" w:cs="宋体"/>
          <w:bCs/>
          <w:sz w:val="24"/>
        </w:rPr>
        <w:t>称：</w:t>
      </w:r>
      <w:r>
        <w:rPr>
          <w:rFonts w:hint="eastAsia" w:ascii="宋体" w:hAnsi="宋体" w:eastAsia="宋体" w:cs="宋体"/>
          <w:b w:val="0"/>
          <w:sz w:val="24"/>
          <w:szCs w:val="24"/>
          <w:u w:val="single"/>
          <w:lang w:eastAsia="zh-CN"/>
        </w:rPr>
        <w:t>固体废弃物管理服务</w:t>
      </w:r>
      <w:r>
        <w:rPr>
          <w:rFonts w:hint="eastAsia" w:ascii="宋体" w:hAnsi="宋体" w:eastAsia="宋体" w:cs="宋体"/>
          <w:b w:val="0"/>
          <w:sz w:val="24"/>
          <w:szCs w:val="24"/>
          <w:u w:val="single"/>
          <w:lang w:val="en-US" w:eastAsia="zh-CN"/>
        </w:rPr>
        <w:t>-2025年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2.2  服务地点：北京市</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2.3  乙方取得项目方式：</w:t>
      </w:r>
      <w:r>
        <w:rPr>
          <w:rFonts w:hint="eastAsia" w:ascii="宋体" w:hAnsi="宋体" w:cs="宋体"/>
          <w:sz w:val="24"/>
        </w:rPr>
        <w:t>中介服务网上交易平台比选。</w:t>
      </w:r>
    </w:p>
    <w:p>
      <w:pPr>
        <w:spacing w:line="360" w:lineRule="auto"/>
        <w:ind w:firstLine="480" w:firstLineChars="200"/>
        <w:rPr>
          <w:rFonts w:hint="eastAsia" w:ascii="宋体" w:hAnsi="宋体" w:cs="宋体"/>
          <w:bCs/>
          <w:color w:val="000000"/>
          <w:sz w:val="24"/>
        </w:rPr>
      </w:pPr>
      <w:r>
        <w:rPr>
          <w:rFonts w:hint="eastAsia" w:ascii="宋体" w:hAnsi="宋体"/>
          <w:sz w:val="24"/>
        </w:rPr>
        <w:t xml:space="preserve">2.4  </w:t>
      </w:r>
      <w:r>
        <w:rPr>
          <w:rFonts w:hint="eastAsia" w:ascii="宋体" w:hAnsi="宋体" w:cs="宋体"/>
          <w:bCs/>
          <w:color w:val="000000"/>
          <w:sz w:val="24"/>
          <w:highlight w:val="yellow"/>
        </w:rPr>
        <w:t>项目目标</w:t>
      </w:r>
      <w:r>
        <w:rPr>
          <w:rFonts w:hint="eastAsia" w:ascii="宋体" w:hAnsi="宋体" w:cs="宋体"/>
          <w:bCs/>
          <w:color w:val="000000"/>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eastAsia="宋体" w:cs="宋体"/>
          <w:sz w:val="24"/>
        </w:rPr>
        <w:t>开展北京市可回收物回收情况调查，围绕我市低值可回收物、大件垃圾体系建设和运行情况进行摸底，调查</w:t>
      </w:r>
      <w:r>
        <w:rPr>
          <w:rFonts w:hint="eastAsia" w:ascii="宋体" w:hAnsi="宋体" w:eastAsia="宋体" w:cs="宋体"/>
          <w:sz w:val="24"/>
          <w:lang w:eastAsia="zh-CN"/>
        </w:rPr>
        <w:t>便民回收渠道建设和运营情况；对创建再生资源回收日活动品牌进行策划，对促进“两网融合”的路线图进行研究。</w:t>
      </w:r>
      <w:r>
        <w:rPr>
          <w:rFonts w:hint="eastAsia" w:ascii="宋体" w:hAnsi="宋体" w:eastAsia="宋体" w:cs="宋体"/>
          <w:sz w:val="24"/>
        </w:rPr>
        <w:t>项目</w:t>
      </w:r>
      <w:r>
        <w:rPr>
          <w:rFonts w:hint="eastAsia" w:ascii="宋体" w:hAnsi="宋体" w:eastAsia="宋体" w:cs="宋体"/>
          <w:sz w:val="24"/>
          <w:lang w:eastAsia="zh-CN"/>
        </w:rPr>
        <w:t>实施采取</w:t>
      </w:r>
      <w:r>
        <w:rPr>
          <w:rFonts w:hint="eastAsia" w:ascii="宋体" w:hAnsi="宋体" w:eastAsia="宋体" w:cs="宋体"/>
          <w:sz w:val="24"/>
        </w:rPr>
        <w:t>资料收集、专题调研</w:t>
      </w:r>
      <w:r>
        <w:rPr>
          <w:rFonts w:hint="eastAsia" w:ascii="宋体" w:hAnsi="宋体" w:eastAsia="宋体" w:cs="宋体"/>
          <w:sz w:val="24"/>
          <w:lang w:eastAsia="zh-CN"/>
        </w:rPr>
        <w:t>、基础研究、策划设计</w:t>
      </w:r>
      <w:r>
        <w:rPr>
          <w:rFonts w:hint="eastAsia" w:ascii="宋体" w:hAnsi="宋体" w:eastAsia="宋体" w:cs="宋体"/>
          <w:sz w:val="24"/>
        </w:rPr>
        <w:t>等服务方式</w:t>
      </w:r>
      <w:r>
        <w:rPr>
          <w:rFonts w:hint="eastAsia" w:ascii="宋体" w:hAnsi="宋体" w:cs="宋体"/>
          <w:sz w:val="24"/>
        </w:rPr>
        <w:t>，为后期制定相关政策提供重要参考，有助于落实《北京市生活垃圾管理条例》中的相关要求，支持再生资源回收行业发展。</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 xml:space="preserve">2.5  </w:t>
      </w:r>
      <w:r>
        <w:rPr>
          <w:rFonts w:hint="eastAsia" w:ascii="宋体" w:hAnsi="宋体" w:cs="宋体"/>
          <w:bCs/>
          <w:color w:val="000000"/>
          <w:sz w:val="24"/>
          <w:highlight w:val="yellow"/>
        </w:rPr>
        <w:t>委托工作范围</w:t>
      </w:r>
      <w:r>
        <w:rPr>
          <w:rFonts w:hint="eastAsia" w:ascii="宋体" w:hAnsi="宋体" w:cs="宋体"/>
          <w:bCs/>
          <w:color w:val="000000"/>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①摸底调研。</w:t>
      </w:r>
      <w:r>
        <w:rPr>
          <w:rFonts w:hint="eastAsia" w:ascii="宋体" w:hAnsi="宋体" w:cs="宋体"/>
          <w:sz w:val="24"/>
          <w:lang w:eastAsia="zh-CN"/>
        </w:rPr>
        <w:t>重点围绕低值可回收物，定期</w:t>
      </w:r>
      <w:r>
        <w:rPr>
          <w:rFonts w:hint="eastAsia" w:ascii="宋体" w:hAnsi="宋体" w:cs="宋体"/>
          <w:sz w:val="24"/>
        </w:rPr>
        <w:t>对各区可回收物</w:t>
      </w:r>
      <w:r>
        <w:rPr>
          <w:rFonts w:hint="eastAsia" w:ascii="宋体" w:hAnsi="宋体" w:cs="宋体"/>
          <w:sz w:val="24"/>
          <w:lang w:eastAsia="zh-CN"/>
        </w:rPr>
        <w:t>体系建设和运行</w:t>
      </w:r>
      <w:r>
        <w:rPr>
          <w:rFonts w:hint="eastAsia" w:ascii="宋体" w:hAnsi="宋体" w:cs="宋体"/>
          <w:sz w:val="24"/>
        </w:rPr>
        <w:t>情况进行</w:t>
      </w:r>
      <w:r>
        <w:rPr>
          <w:rFonts w:hint="eastAsia" w:ascii="宋体" w:hAnsi="宋体" w:cs="宋体"/>
          <w:sz w:val="24"/>
          <w:lang w:eastAsia="zh-CN"/>
        </w:rPr>
        <w:t>调研</w:t>
      </w:r>
      <w:r>
        <w:rPr>
          <w:rFonts w:hint="eastAsia" w:ascii="宋体" w:hAnsi="宋体" w:cs="宋体"/>
          <w:sz w:val="24"/>
        </w:rPr>
        <w:t>跟踪，</w:t>
      </w:r>
      <w:r>
        <w:rPr>
          <w:rFonts w:hint="eastAsia" w:ascii="宋体" w:hAnsi="宋体" w:cs="宋体"/>
          <w:sz w:val="24"/>
          <w:lang w:eastAsia="zh-CN"/>
        </w:rPr>
        <w:t>收集汇总各区便民回收渠道建设运行</w:t>
      </w:r>
      <w:r>
        <w:rPr>
          <w:rFonts w:hint="eastAsia" w:ascii="宋体" w:hAnsi="宋体" w:cs="宋体"/>
          <w:sz w:val="24"/>
        </w:rPr>
        <w:t>情况。编制《202</w:t>
      </w:r>
      <w:r>
        <w:rPr>
          <w:rFonts w:hint="eastAsia" w:ascii="宋体" w:hAnsi="宋体" w:cs="宋体"/>
          <w:sz w:val="24"/>
          <w:lang w:val="en-US" w:eastAsia="zh-CN"/>
        </w:rPr>
        <w:t>5</w:t>
      </w:r>
      <w:r>
        <w:rPr>
          <w:rFonts w:hint="eastAsia" w:ascii="宋体" w:hAnsi="宋体" w:cs="宋体"/>
          <w:sz w:val="24"/>
        </w:rPr>
        <w:t>年北京市可回收物运行情况调查报告》。</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eastAsia="zh-CN"/>
        </w:rPr>
        <w:t>专项调研</w:t>
      </w:r>
      <w:r>
        <w:rPr>
          <w:rFonts w:hint="eastAsia" w:ascii="宋体" w:hAnsi="宋体" w:eastAsia="宋体" w:cs="宋体"/>
          <w:sz w:val="24"/>
        </w:rPr>
        <w:t>。</w:t>
      </w:r>
      <w:r>
        <w:rPr>
          <w:rFonts w:hint="eastAsia" w:ascii="宋体" w:hAnsi="宋体" w:eastAsia="宋体" w:cs="宋体"/>
          <w:sz w:val="24"/>
          <w:lang w:eastAsia="zh-CN"/>
        </w:rPr>
        <w:t>开展大件垃圾回收体系建设专项调研，</w:t>
      </w:r>
      <w:r>
        <w:rPr>
          <w:rFonts w:hint="eastAsia" w:ascii="宋体" w:hAnsi="宋体" w:eastAsia="宋体" w:cs="宋体"/>
          <w:bCs w:val="0"/>
          <w:color w:val="000000"/>
          <w:sz w:val="24"/>
          <w:lang w:eastAsia="zh-CN"/>
        </w:rPr>
        <w:t>梳理和</w:t>
      </w:r>
      <w:r>
        <w:rPr>
          <w:rFonts w:hint="eastAsia" w:ascii="宋体" w:hAnsi="宋体" w:eastAsia="宋体" w:cs="宋体"/>
          <w:bCs w:val="0"/>
          <w:color w:val="000000"/>
          <w:sz w:val="24"/>
        </w:rPr>
        <w:t>对比分析国内</w:t>
      </w:r>
      <w:r>
        <w:rPr>
          <w:rFonts w:hint="eastAsia" w:ascii="宋体" w:hAnsi="宋体" w:eastAsia="宋体" w:cs="宋体"/>
          <w:bCs w:val="0"/>
          <w:color w:val="000000"/>
          <w:sz w:val="24"/>
          <w:lang w:eastAsia="zh-CN"/>
        </w:rPr>
        <w:t>大件垃圾</w:t>
      </w:r>
      <w:r>
        <w:rPr>
          <w:rFonts w:hint="eastAsia" w:ascii="宋体" w:hAnsi="宋体" w:eastAsia="宋体" w:cs="宋体"/>
          <w:bCs w:val="0"/>
          <w:color w:val="000000"/>
          <w:sz w:val="24"/>
        </w:rPr>
        <w:t>管理的相关经验和制度，</w:t>
      </w:r>
      <w:r>
        <w:rPr>
          <w:rFonts w:hint="eastAsia" w:ascii="宋体" w:hAnsi="宋体" w:eastAsia="宋体" w:cs="宋体"/>
          <w:sz w:val="24"/>
        </w:rPr>
        <w:t>针对北京市</w:t>
      </w:r>
      <w:r>
        <w:rPr>
          <w:rFonts w:hint="eastAsia" w:ascii="宋体" w:hAnsi="宋体" w:eastAsia="宋体" w:cs="宋体"/>
          <w:sz w:val="24"/>
          <w:lang w:eastAsia="zh-CN"/>
        </w:rPr>
        <w:t>大件垃圾管理</w:t>
      </w:r>
      <w:r>
        <w:rPr>
          <w:rFonts w:hint="eastAsia" w:ascii="宋体" w:hAnsi="宋体" w:eastAsia="宋体" w:cs="宋体"/>
          <w:sz w:val="24"/>
        </w:rPr>
        <w:t>工作提出建议。</w:t>
      </w:r>
      <w:r>
        <w:rPr>
          <w:rFonts w:hint="eastAsia" w:ascii="宋体" w:hAnsi="宋体" w:eastAsia="宋体" w:cs="宋体"/>
          <w:bCs w:val="0"/>
          <w:color w:val="000000"/>
          <w:sz w:val="24"/>
          <w:lang w:eastAsia="zh-CN"/>
        </w:rPr>
        <w:t>编制《北京市大件垃圾回收体系运行情况调查报告》。</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③基础性研究。借鉴国内外先进经验，</w:t>
      </w:r>
      <w:r>
        <w:rPr>
          <w:rFonts w:hint="eastAsia" w:ascii="宋体" w:hAnsi="宋体" w:eastAsia="宋体" w:cs="宋体"/>
          <w:bCs/>
          <w:color w:val="000000"/>
          <w:sz w:val="24"/>
          <w:lang w:eastAsia="zh-CN"/>
        </w:rPr>
        <w:t>研究设计北京市再生资源回收日活动品牌名称、视觉标识、宣传口号等，形成品牌策划方案，为打造具有首都特色和全国影响力的垃圾分类品牌活动提供支撑。</w:t>
      </w:r>
      <w:r>
        <w:rPr>
          <w:rFonts w:hint="eastAsia" w:ascii="宋体" w:hAnsi="宋体" w:eastAsia="宋体" w:cs="宋体"/>
          <w:bCs/>
          <w:color w:val="000000"/>
          <w:sz w:val="24"/>
        </w:rPr>
        <w:t>进一步研究具有本市特色的“可回收物体系</w:t>
      </w:r>
      <w:r>
        <w:rPr>
          <w:rFonts w:hint="eastAsia" w:ascii="宋体" w:hAnsi="宋体" w:eastAsia="宋体" w:cs="宋体"/>
          <w:bCs/>
          <w:color w:val="000000"/>
          <w:sz w:val="24"/>
          <w:lang w:eastAsia="zh-CN"/>
        </w:rPr>
        <w:t>视觉识别系统</w:t>
      </w:r>
      <w:r>
        <w:rPr>
          <w:rFonts w:hint="eastAsia" w:ascii="宋体" w:hAnsi="宋体" w:eastAsia="宋体" w:cs="宋体"/>
          <w:bCs/>
          <w:color w:val="000000"/>
          <w:sz w:val="24"/>
        </w:rPr>
        <w:t>”，指导“点、站、中心”提升行业形象，提升规范化管理水平。</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sz w:val="24"/>
        </w:rPr>
        <w:t>④</w:t>
      </w:r>
      <w:r>
        <w:rPr>
          <w:rFonts w:hint="eastAsia" w:ascii="宋体" w:hAnsi="宋体" w:cs="宋体"/>
          <w:bCs/>
          <w:color w:val="000000"/>
          <w:sz w:val="24"/>
          <w:lang w:eastAsia="zh-CN"/>
        </w:rPr>
        <w:t>调研</w:t>
      </w:r>
      <w:r>
        <w:rPr>
          <w:rFonts w:hint="eastAsia" w:ascii="宋体" w:hAnsi="宋体" w:cs="宋体"/>
          <w:bCs/>
          <w:color w:val="000000"/>
          <w:sz w:val="24"/>
        </w:rPr>
        <w:t>梳理国内垃圾分类和再生资源回收“两网融合”成功经验和做法，研究促进垃圾分类和再生资源回收“两网融合”路线图</w:t>
      </w:r>
      <w:r>
        <w:rPr>
          <w:rFonts w:hint="eastAsia" w:ascii="宋体" w:hAnsi="宋体" w:cs="宋体"/>
          <w:bCs/>
          <w:color w:val="000000"/>
          <w:sz w:val="24"/>
          <w:lang w:eastAsia="zh-CN"/>
        </w:rPr>
        <w:t>，</w:t>
      </w:r>
      <w:r>
        <w:rPr>
          <w:rFonts w:hint="eastAsia" w:ascii="宋体" w:hAnsi="宋体" w:cs="宋体"/>
          <w:bCs/>
          <w:color w:val="000000"/>
          <w:sz w:val="24"/>
        </w:rPr>
        <w:t>形成垃圾分类和再生资源回收“两网融合”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lang w:eastAsia="zh-CN"/>
        </w:rPr>
        <w:t>。</w:t>
      </w:r>
    </w:p>
    <w:p>
      <w:pPr>
        <w:tabs>
          <w:tab w:val="left" w:pos="7605"/>
        </w:tabs>
        <w:adjustRightInd w:val="0"/>
        <w:snapToGrid w:val="0"/>
        <w:spacing w:line="360" w:lineRule="auto"/>
        <w:ind w:firstLine="480" w:firstLineChars="200"/>
        <w:jc w:val="left"/>
        <w:rPr>
          <w:color w:val="000000"/>
          <w:sz w:val="24"/>
        </w:rPr>
      </w:pPr>
      <w:r>
        <w:rPr>
          <w:rFonts w:hint="eastAsia" w:ascii="宋体" w:hAnsi="宋体" w:cs="宋体"/>
          <w:bCs/>
          <w:color w:val="000000"/>
          <w:sz w:val="24"/>
        </w:rPr>
        <w:t>2.6  委托工作时限：</w:t>
      </w:r>
      <w:r>
        <w:rPr>
          <w:color w:val="000000"/>
          <w:sz w:val="24"/>
        </w:rPr>
        <w:t>本项目</w:t>
      </w:r>
      <w:r>
        <w:rPr>
          <w:rFonts w:hint="eastAsia"/>
          <w:color w:val="000000"/>
          <w:sz w:val="24"/>
        </w:rPr>
        <w:t>执行</w:t>
      </w:r>
      <w:r>
        <w:rPr>
          <w:color w:val="000000"/>
          <w:sz w:val="24"/>
        </w:rPr>
        <w:t>时间为</w:t>
      </w:r>
      <w:r>
        <w:rPr>
          <w:color w:val="000000"/>
          <w:sz w:val="24"/>
          <w:highlight w:val="yellow"/>
        </w:rPr>
        <w:t>202</w:t>
      </w:r>
      <w:r>
        <w:rPr>
          <w:rFonts w:hint="eastAsia"/>
          <w:color w:val="000000"/>
          <w:sz w:val="24"/>
          <w:highlight w:val="yellow"/>
          <w:lang w:eastAsia="zh-CN"/>
        </w:rPr>
        <w:t>5</w:t>
      </w:r>
      <w:r>
        <w:rPr>
          <w:color w:val="000000"/>
          <w:sz w:val="24"/>
          <w:highlight w:val="yellow"/>
        </w:rPr>
        <w:t>年</w:t>
      </w:r>
      <w:r>
        <w:rPr>
          <w:rFonts w:hint="eastAsia"/>
          <w:color w:val="000000"/>
          <w:sz w:val="24"/>
          <w:highlight w:val="yellow"/>
          <w:lang w:val="en-US" w:eastAsia="zh-CN"/>
        </w:rPr>
        <w:t>7</w:t>
      </w:r>
      <w:r>
        <w:rPr>
          <w:color w:val="000000"/>
          <w:sz w:val="24"/>
          <w:highlight w:val="yellow"/>
        </w:rPr>
        <w:t>月-202</w:t>
      </w:r>
      <w:r>
        <w:rPr>
          <w:rFonts w:hint="eastAsia"/>
          <w:color w:val="000000"/>
          <w:sz w:val="24"/>
          <w:highlight w:val="yellow"/>
          <w:lang w:eastAsia="zh-CN"/>
        </w:rPr>
        <w:t>6</w:t>
      </w:r>
      <w:r>
        <w:rPr>
          <w:color w:val="000000"/>
          <w:sz w:val="24"/>
          <w:highlight w:val="yellow"/>
        </w:rPr>
        <w:t>年</w:t>
      </w:r>
      <w:r>
        <w:rPr>
          <w:rFonts w:hint="eastAsia"/>
          <w:color w:val="000000"/>
          <w:sz w:val="24"/>
          <w:highlight w:val="yellow"/>
          <w:lang w:val="en-US" w:eastAsia="zh-CN"/>
        </w:rPr>
        <w:t>7</w:t>
      </w:r>
      <w:r>
        <w:rPr>
          <w:color w:val="000000"/>
          <w:sz w:val="24"/>
          <w:highlight w:val="yellow"/>
        </w:rPr>
        <w:t>月</w:t>
      </w:r>
      <w:r>
        <w:rPr>
          <w:color w:val="000000"/>
          <w:sz w:val="24"/>
        </w:rPr>
        <w:t>。</w:t>
      </w:r>
      <w:r>
        <w:rPr>
          <w:rFonts w:hint="eastAsia"/>
          <w:color w:val="000000"/>
          <w:sz w:val="24"/>
        </w:rPr>
        <w:t>如若遇到重大不可抗力因素导致调查工作延误，需顺延调查时间，保证调查周期为12个月。</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2.7  进度与计划安排：</w:t>
      </w:r>
      <w:bookmarkStart w:id="84" w:name="_Toc511132656"/>
      <w:r>
        <w:rPr>
          <w:rFonts w:hint="eastAsia" w:ascii="宋体" w:hAnsi="宋体" w:cs="宋体"/>
          <w:bCs/>
          <w:color w:val="000000"/>
          <w:sz w:val="24"/>
        </w:rPr>
        <w:t xml:space="preserve">        </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2.8  成果形式：</w:t>
      </w:r>
    </w:p>
    <w:p>
      <w:pPr>
        <w:tabs>
          <w:tab w:val="left" w:pos="7605"/>
        </w:tabs>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 xml:space="preserve">2.8.1 </w:t>
      </w:r>
      <w:bookmarkStart w:id="85" w:name="OLE_LINK1"/>
      <w:r>
        <w:rPr>
          <w:rFonts w:hint="eastAsia" w:ascii="宋体" w:hAnsi="宋体" w:cs="宋体"/>
          <w:bCs/>
          <w:color w:val="000000"/>
          <w:sz w:val="24"/>
        </w:rPr>
        <w:t>形成</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年北京市可回收物运行情况调查报告》</w:t>
      </w:r>
      <w:r>
        <w:rPr>
          <w:rFonts w:hint="eastAsia" w:ascii="宋体" w:hAnsi="宋体" w:cs="宋体"/>
          <w:bCs/>
          <w:color w:val="000000"/>
          <w:sz w:val="24"/>
          <w:lang w:eastAsia="zh-CN"/>
        </w:rPr>
        <w:t>《北京市大件垃圾回收体系运行情况调查报告》《</w:t>
      </w:r>
      <w:r>
        <w:rPr>
          <w:rFonts w:hint="eastAsia" w:ascii="宋体" w:hAnsi="宋体" w:eastAsia="宋体" w:cs="宋体"/>
          <w:bCs/>
          <w:color w:val="000000"/>
          <w:sz w:val="24"/>
          <w:lang w:eastAsia="zh-CN"/>
        </w:rPr>
        <w:t>北京市再生资源回收日活动品牌策划方案</w:t>
      </w:r>
      <w:r>
        <w:rPr>
          <w:rFonts w:hint="eastAsia" w:ascii="宋体" w:hAnsi="宋体" w:cs="宋体"/>
          <w:bCs/>
          <w:color w:val="000000"/>
          <w:sz w:val="24"/>
          <w:lang w:eastAsia="zh-CN"/>
        </w:rPr>
        <w:t>》《北京市</w:t>
      </w:r>
      <w:r>
        <w:rPr>
          <w:rFonts w:hint="eastAsia" w:ascii="宋体" w:hAnsi="宋体" w:eastAsia="宋体" w:cs="宋体"/>
          <w:bCs/>
          <w:color w:val="000000"/>
          <w:sz w:val="24"/>
        </w:rPr>
        <w:t>可回收物体系</w:t>
      </w:r>
      <w:r>
        <w:rPr>
          <w:rFonts w:hint="eastAsia" w:ascii="宋体" w:hAnsi="宋体" w:eastAsia="宋体" w:cs="宋体"/>
          <w:bCs/>
          <w:color w:val="000000"/>
          <w:sz w:val="24"/>
          <w:lang w:eastAsia="zh-CN"/>
        </w:rPr>
        <w:t>视觉识别系统</w:t>
      </w:r>
      <w:r>
        <w:rPr>
          <w:rFonts w:hint="eastAsia" w:ascii="宋体" w:hAnsi="宋体" w:cs="宋体"/>
          <w:bCs/>
          <w:color w:val="000000"/>
          <w:sz w:val="24"/>
          <w:lang w:eastAsia="zh-CN"/>
        </w:rPr>
        <w:t>》</w:t>
      </w:r>
      <w:r>
        <w:rPr>
          <w:rFonts w:hint="eastAsia" w:ascii="宋体" w:hAnsi="宋体" w:cs="宋体"/>
          <w:sz w:val="24"/>
          <w:highlight w:val="none"/>
        </w:rPr>
        <w:t>《</w:t>
      </w:r>
      <w:r>
        <w:rPr>
          <w:rFonts w:hint="eastAsia" w:ascii="宋体" w:hAnsi="宋体" w:cs="宋体"/>
          <w:bCs/>
          <w:color w:val="000000"/>
          <w:sz w:val="24"/>
        </w:rPr>
        <w:t>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rPr>
        <w:t>》</w:t>
      </w:r>
      <w:r>
        <w:rPr>
          <w:rFonts w:hint="eastAsia" w:ascii="宋体" w:hAnsi="宋体" w:cs="宋体"/>
          <w:bCs/>
          <w:color w:val="000000"/>
          <w:sz w:val="24"/>
        </w:rPr>
        <w:t>。</w:t>
      </w:r>
      <w:bookmarkEnd w:id="85"/>
    </w:p>
    <w:p>
      <w:pPr>
        <w:tabs>
          <w:tab w:val="left" w:pos="7605"/>
        </w:tabs>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2.8.2 项目最终成果的交付时间：乙</w:t>
      </w:r>
      <w:r>
        <w:rPr>
          <w:rFonts w:hint="eastAsia" w:ascii="宋体" w:hAnsi="宋体" w:cs="宋体"/>
          <w:bCs/>
          <w:color w:val="000000"/>
          <w:sz w:val="24"/>
          <w:lang w:val="en-US" w:eastAsia="zh-CN"/>
        </w:rPr>
        <w:t>方</w:t>
      </w:r>
      <w:r>
        <w:rPr>
          <w:rFonts w:hint="eastAsia" w:ascii="宋体" w:hAnsi="宋体" w:cs="宋体"/>
          <w:bCs/>
          <w:color w:val="000000"/>
          <w:sz w:val="24"/>
        </w:rPr>
        <w:t>完成合同规定服务内容后，</w:t>
      </w:r>
      <w:r>
        <w:rPr>
          <w:rFonts w:hint="eastAsia" w:ascii="宋体" w:hAnsi="宋体" w:cs="宋体"/>
          <w:bCs/>
          <w:color w:val="000000"/>
          <w:sz w:val="24"/>
          <w:highlight w:val="yellow"/>
        </w:rPr>
        <w:t>202</w:t>
      </w:r>
      <w:r>
        <w:rPr>
          <w:rFonts w:hint="eastAsia" w:ascii="宋体" w:hAnsi="宋体" w:cs="宋体"/>
          <w:bCs/>
          <w:color w:val="000000"/>
          <w:sz w:val="24"/>
          <w:highlight w:val="yellow"/>
          <w:lang w:val="en-US" w:eastAsia="zh-CN"/>
        </w:rPr>
        <w:t>6</w:t>
      </w:r>
      <w:r>
        <w:rPr>
          <w:rFonts w:hint="eastAsia" w:ascii="宋体" w:hAnsi="宋体" w:cs="宋体"/>
          <w:bCs/>
          <w:color w:val="000000"/>
          <w:sz w:val="24"/>
          <w:highlight w:val="yellow"/>
        </w:rPr>
        <w:t>年</w:t>
      </w:r>
      <w:r>
        <w:rPr>
          <w:rFonts w:hint="eastAsia" w:ascii="宋体" w:hAnsi="宋体" w:cs="宋体"/>
          <w:bCs/>
          <w:color w:val="000000"/>
          <w:sz w:val="24"/>
          <w:highlight w:val="yellow"/>
          <w:lang w:val="en-US" w:eastAsia="zh-CN"/>
        </w:rPr>
        <w:t>7</w:t>
      </w:r>
      <w:r>
        <w:rPr>
          <w:rFonts w:hint="eastAsia" w:ascii="宋体" w:hAnsi="宋体" w:cs="宋体"/>
          <w:bCs/>
          <w:color w:val="000000"/>
          <w:sz w:val="24"/>
          <w:highlight w:val="yellow"/>
        </w:rPr>
        <w:t>月底前乙方需提交最终成果。</w:t>
      </w:r>
    </w:p>
    <w:p>
      <w:pPr>
        <w:spacing w:line="360" w:lineRule="auto"/>
        <w:ind w:firstLine="481" w:firstLineChars="200"/>
        <w:rPr>
          <w:rFonts w:ascii="宋体" w:hAnsi="宋体"/>
          <w:bCs/>
          <w:sz w:val="24"/>
        </w:rPr>
      </w:pPr>
      <w:r>
        <w:rPr>
          <w:rFonts w:hint="eastAsia" w:ascii="宋体" w:hAnsi="宋体"/>
          <w:b/>
          <w:bCs/>
          <w:sz w:val="24"/>
        </w:rPr>
        <w:t>3  服务费用及付款方式</w:t>
      </w:r>
      <w:bookmarkEnd w:id="84"/>
    </w:p>
    <w:p>
      <w:pPr>
        <w:pStyle w:val="60"/>
        <w:spacing w:line="360" w:lineRule="auto"/>
        <w:jc w:val="left"/>
        <w:rPr>
          <w:rFonts w:hAnsi="宋体"/>
          <w:color w:val="000000"/>
          <w:szCs w:val="24"/>
        </w:rPr>
      </w:pPr>
      <w:r>
        <w:rPr>
          <w:rFonts w:hint="eastAsia" w:hAnsi="宋体"/>
          <w:color w:val="000000"/>
          <w:szCs w:val="24"/>
        </w:rPr>
        <w:t>3.1  本项目费用为人民币</w:t>
      </w:r>
      <w:r>
        <w:rPr>
          <w:rFonts w:hint="eastAsia" w:hAnsi="宋体"/>
          <w:color w:val="000000"/>
          <w:szCs w:val="24"/>
          <w:u w:val="single"/>
        </w:rPr>
        <w:t xml:space="preserve">             </w:t>
      </w:r>
      <w:r>
        <w:rPr>
          <w:rFonts w:hint="eastAsia" w:hAnsi="宋体"/>
          <w:color w:val="000000"/>
          <w:szCs w:val="24"/>
        </w:rPr>
        <w:t>。</w:t>
      </w:r>
    </w:p>
    <w:p>
      <w:pPr>
        <w:spacing w:line="360" w:lineRule="auto"/>
        <w:ind w:firstLine="480" w:firstLineChars="200"/>
        <w:rPr>
          <w:rFonts w:ascii="宋体" w:hAnsi="宋体"/>
          <w:color w:val="000000"/>
          <w:sz w:val="24"/>
        </w:rPr>
      </w:pPr>
      <w:r>
        <w:rPr>
          <w:rFonts w:hint="eastAsia" w:ascii="宋体" w:hAnsi="宋体"/>
          <w:color w:val="000000"/>
          <w:sz w:val="24"/>
        </w:rPr>
        <w:t>3.2  项目费用支付方式：</w:t>
      </w:r>
    </w:p>
    <w:p>
      <w:pPr>
        <w:pStyle w:val="61"/>
        <w:spacing w:line="360" w:lineRule="auto"/>
        <w:ind w:firstLine="480" w:firstLineChars="200"/>
        <w:rPr>
          <w:color w:val="000000"/>
          <w:sz w:val="24"/>
          <w:szCs w:val="24"/>
          <w:lang w:eastAsia="zh-CN"/>
        </w:rPr>
      </w:pPr>
      <w:r>
        <w:rPr>
          <w:rFonts w:hint="eastAsia"/>
          <w:color w:val="000000"/>
          <w:sz w:val="24"/>
          <w:szCs w:val="24"/>
          <w:lang w:eastAsia="zh-CN"/>
        </w:rPr>
        <w:t>3.2.</w:t>
      </w:r>
      <w:r>
        <w:rPr>
          <w:rFonts w:hint="eastAsia"/>
          <w:color w:val="000000"/>
          <w:sz w:val="24"/>
          <w:szCs w:val="24"/>
        </w:rPr>
        <w:t>1</w:t>
      </w:r>
      <w:r>
        <w:rPr>
          <w:rFonts w:hint="eastAsia"/>
          <w:color w:val="000000"/>
          <w:sz w:val="24"/>
          <w:szCs w:val="24"/>
          <w:lang w:eastAsia="zh-CN"/>
        </w:rPr>
        <w:t xml:space="preserve">  </w:t>
      </w:r>
      <w:r>
        <w:rPr>
          <w:rFonts w:hint="eastAsia"/>
          <w:color w:val="000000"/>
          <w:sz w:val="24"/>
          <w:szCs w:val="24"/>
        </w:rPr>
        <w:t>本合同自生效之日起</w:t>
      </w:r>
      <w:r>
        <w:rPr>
          <w:rFonts w:hint="eastAsia"/>
          <w:color w:val="000000"/>
          <w:sz w:val="24"/>
          <w:szCs w:val="24"/>
          <w:u w:val="single"/>
          <w:lang w:eastAsia="zh-CN"/>
        </w:rPr>
        <w:t xml:space="preserve">    </w:t>
      </w:r>
      <w:r>
        <w:rPr>
          <w:rFonts w:hint="eastAsia"/>
          <w:color w:val="000000"/>
          <w:sz w:val="24"/>
          <w:szCs w:val="24"/>
        </w:rPr>
        <w:t>个工作日内，甲方向乙方支付本合同费用</w:t>
      </w:r>
      <w:r>
        <w:rPr>
          <w:rFonts w:hint="eastAsia"/>
          <w:color w:val="000000"/>
          <w:sz w:val="24"/>
          <w:szCs w:val="24"/>
          <w:lang w:eastAsia="zh-CN"/>
        </w:rPr>
        <w:t>的70%</w:t>
      </w:r>
      <w:r>
        <w:rPr>
          <w:rFonts w:hint="eastAsia"/>
          <w:color w:val="000000"/>
          <w:sz w:val="24"/>
          <w:szCs w:val="24"/>
        </w:rPr>
        <w:t>，共计人民币</w:t>
      </w:r>
      <w:r>
        <w:rPr>
          <w:rFonts w:hint="eastAsia"/>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pStyle w:val="61"/>
        <w:spacing w:line="360" w:lineRule="auto"/>
        <w:ind w:firstLine="480" w:firstLineChars="200"/>
        <w:rPr>
          <w:color w:val="000000"/>
          <w:sz w:val="24"/>
          <w:szCs w:val="24"/>
          <w:lang w:eastAsia="zh-CN"/>
        </w:rPr>
      </w:pPr>
      <w:r>
        <w:rPr>
          <w:rFonts w:hint="eastAsia"/>
          <w:color w:val="000000"/>
          <w:sz w:val="24"/>
          <w:szCs w:val="24"/>
          <w:lang w:eastAsia="zh-CN"/>
        </w:rPr>
        <w:t xml:space="preserve">3.2.2  </w:t>
      </w:r>
      <w:r>
        <w:rPr>
          <w:rFonts w:hint="eastAsia"/>
          <w:color w:val="000000"/>
          <w:sz w:val="24"/>
          <w:szCs w:val="24"/>
        </w:rPr>
        <w:t>乙方完成全部义务且不发生违约行为，</w:t>
      </w:r>
      <w:r>
        <w:rPr>
          <w:rFonts w:hint="eastAsia"/>
          <w:color w:val="000000"/>
          <w:sz w:val="24"/>
          <w:szCs w:val="24"/>
          <w:lang w:eastAsia="zh-CN"/>
        </w:rPr>
        <w:t>项目</w:t>
      </w:r>
      <w:r>
        <w:rPr>
          <w:rFonts w:hint="eastAsia"/>
          <w:color w:val="000000"/>
          <w:sz w:val="24"/>
          <w:szCs w:val="24"/>
        </w:rPr>
        <w:t>成果经甲方验收合格后，甲方向乙方支付本合同余款。</w:t>
      </w:r>
    </w:p>
    <w:p>
      <w:pPr>
        <w:pStyle w:val="61"/>
        <w:spacing w:line="600" w:lineRule="exact"/>
        <w:rPr>
          <w:rFonts w:asciiTheme="minorEastAsia" w:hAnsiTheme="minorEastAsia" w:eastAsiaTheme="minorEastAsia"/>
          <w:color w:val="000000"/>
          <w:sz w:val="24"/>
          <w:szCs w:val="24"/>
        </w:rPr>
      </w:pPr>
      <w:r>
        <w:rPr>
          <w:rFonts w:hint="eastAsia" w:ascii="宋体" w:hAnsi="宋体"/>
          <w:color w:val="000000"/>
          <w:kern w:val="1"/>
          <w:sz w:val="24"/>
        </w:rPr>
        <w:t xml:space="preserve">3.2.3  </w:t>
      </w:r>
      <w:r>
        <w:rPr>
          <w:rFonts w:hint="eastAsia" w:asciiTheme="minorEastAsia" w:hAnsiTheme="minorEastAsia" w:eastAsiaTheme="minorEastAsia"/>
          <w:color w:val="000000"/>
          <w:sz w:val="24"/>
          <w:szCs w:val="24"/>
        </w:rPr>
        <w:t>甲方付款前，乙方应向甲方出具合法、等额的增值税【 】发票（税率以合同履行时最新法律规定或国家税务政策规定的税率为准，总价不发生变化），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甲方开票信息如下：</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户名：</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纳税人识别号：</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开户行：</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账号：</w:t>
      </w:r>
    </w:p>
    <w:p>
      <w:pPr>
        <w:pStyle w:val="61"/>
        <w:spacing w:line="600" w:lineRule="exact"/>
        <w:ind w:firstLine="480" w:firstLineChars="200"/>
        <w:rPr>
          <w:rFonts w:asciiTheme="minorEastAsia" w:hAnsiTheme="minorEastAsia" w:eastAsiaTheme="minorEastAsia"/>
          <w:color w:val="000000"/>
          <w:sz w:val="24"/>
          <w:szCs w:val="24"/>
        </w:rPr>
      </w:pPr>
      <w:r>
        <w:rPr>
          <w:rFonts w:hint="eastAsia" w:ascii="宋体" w:hAnsi="宋体"/>
          <w:color w:val="000000"/>
          <w:kern w:val="1"/>
          <w:sz w:val="24"/>
        </w:rPr>
        <w:t>3.2.4  项目经费支付时，如遇市财政国库结账等特殊时期，最终付款按照市财政有关规定执行</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乙方应予以理解和配合</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此时</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出现付款延迟支付的情况不视为甲方违约。</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乙方指定的收款银行账户如下：</w:t>
      </w:r>
    </w:p>
    <w:p>
      <w:pPr>
        <w:pStyle w:val="61"/>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户</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 xml:space="preserve"> 名： </w:t>
      </w:r>
    </w:p>
    <w:p>
      <w:pPr>
        <w:pStyle w:val="61"/>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开户行： </w:t>
      </w:r>
    </w:p>
    <w:p>
      <w:pPr>
        <w:pStyle w:val="61"/>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账  号： </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w:t>
      </w:r>
    </w:p>
    <w:p>
      <w:pPr>
        <w:tabs>
          <w:tab w:val="left" w:pos="720"/>
          <w:tab w:val="left" w:pos="900"/>
        </w:tabs>
        <w:spacing w:line="360" w:lineRule="auto"/>
        <w:ind w:firstLine="481" w:firstLineChars="200"/>
        <w:outlineLvl w:val="0"/>
        <w:rPr>
          <w:rFonts w:ascii="宋体" w:hAnsi="宋体"/>
          <w:b/>
          <w:color w:val="000000"/>
          <w:kern w:val="1"/>
          <w:sz w:val="24"/>
        </w:rPr>
      </w:pPr>
      <w:bookmarkStart w:id="86" w:name="_Toc105496505"/>
      <w:r>
        <w:rPr>
          <w:rFonts w:hint="eastAsia" w:ascii="宋体" w:hAnsi="宋体"/>
          <w:b/>
          <w:color w:val="000000"/>
          <w:kern w:val="1"/>
          <w:sz w:val="24"/>
        </w:rPr>
        <w:t xml:space="preserve">6.4  </w:t>
      </w:r>
      <w:r>
        <w:rPr>
          <w:rFonts w:hint="eastAsia" w:ascii="宋体" w:hAnsi="宋体"/>
          <w:b/>
          <w:sz w:val="24"/>
        </w:rPr>
        <w:t>质量保证期：</w:t>
      </w:r>
      <w:r>
        <w:rPr>
          <w:rFonts w:hint="eastAsia" w:ascii="宋体" w:hAnsi="宋体"/>
          <w:sz w:val="24"/>
        </w:rPr>
        <w:t>本项目的质量保证期为</w:t>
      </w:r>
      <w:r>
        <w:rPr>
          <w:rFonts w:hint="eastAsia" w:ascii="宋体" w:hAnsi="宋体"/>
          <w:sz w:val="24"/>
          <w:u w:val="single"/>
        </w:rPr>
        <w:t>1</w:t>
      </w:r>
      <w:r>
        <w:rPr>
          <w:rFonts w:hint="eastAsia" w:ascii="宋体" w:hAnsi="宋体"/>
          <w:sz w:val="24"/>
        </w:rPr>
        <w:t>年，自甲方签发项目验收证书之日起算。在保证期内发现服务质量缺陷的，乙方应当按照甲方要求重新</w:t>
      </w:r>
      <w:r>
        <w:rPr>
          <w:rFonts w:hint="eastAsia" w:ascii="宋体" w:hAnsi="宋体"/>
          <w:sz w:val="24"/>
          <w:lang w:val="en-US" w:eastAsia="zh-CN"/>
        </w:rPr>
        <w:t>免费</w:t>
      </w:r>
      <w:r>
        <w:rPr>
          <w:rFonts w:hint="eastAsia" w:ascii="宋体" w:hAnsi="宋体"/>
          <w:sz w:val="24"/>
        </w:rPr>
        <w:t>提供技术咨询服务或者采取补救措施，但并不能因此减免乙方的违约责任。</w:t>
      </w:r>
      <w:bookmarkEnd w:id="86"/>
    </w:p>
    <w:p>
      <w:pPr>
        <w:spacing w:line="360" w:lineRule="auto"/>
        <w:ind w:firstLine="481" w:firstLineChars="200"/>
        <w:outlineLvl w:val="0"/>
        <w:rPr>
          <w:rFonts w:ascii="宋体" w:hAnsi="宋体"/>
          <w:b/>
          <w:color w:val="000000"/>
          <w:kern w:val="1"/>
          <w:sz w:val="24"/>
        </w:rPr>
      </w:pPr>
      <w:bookmarkStart w:id="87" w:name="_Toc511132658"/>
      <w:r>
        <w:rPr>
          <w:rFonts w:ascii="宋体" w:hAnsi="宋体"/>
          <w:b/>
          <w:color w:val="000000"/>
          <w:kern w:val="1"/>
          <w:sz w:val="24"/>
        </w:rPr>
        <w:br w:type="page"/>
      </w:r>
      <w:bookmarkStart w:id="88" w:name="_Toc105496506"/>
      <w:r>
        <w:rPr>
          <w:rFonts w:hint="eastAsia" w:ascii="宋体" w:hAnsi="宋体"/>
          <w:b/>
          <w:color w:val="000000"/>
          <w:kern w:val="1"/>
          <w:sz w:val="24"/>
        </w:rPr>
        <w:t>附件</w:t>
      </w:r>
      <w:bookmarkEnd w:id="87"/>
      <w:bookmarkEnd w:id="88"/>
    </w:p>
    <w:p>
      <w:pPr>
        <w:spacing w:line="360" w:lineRule="auto"/>
        <w:ind w:firstLine="480" w:firstLineChars="200"/>
        <w:rPr>
          <w:rFonts w:ascii="宋体" w:hAnsi="宋体"/>
          <w:color w:val="000000"/>
          <w:sz w:val="24"/>
        </w:rPr>
      </w:pPr>
      <w:r>
        <w:rPr>
          <w:rFonts w:hint="eastAsia" w:ascii="宋体" w:hAnsi="宋体"/>
          <w:color w:val="000000"/>
          <w:sz w:val="24"/>
        </w:rPr>
        <w:t>本合同正文与附件具有同等法律效力，与附件约定内容不一致的，以</w:t>
      </w:r>
      <w:r>
        <w:rPr>
          <w:rFonts w:hint="eastAsia" w:ascii="宋体" w:hAnsi="宋体"/>
          <w:color w:val="000000"/>
          <w:sz w:val="24"/>
          <w:lang w:val="en-US" w:eastAsia="zh-CN"/>
        </w:rPr>
        <w:t>合同正文</w:t>
      </w:r>
      <w:r>
        <w:rPr>
          <w:rFonts w:hint="eastAsia" w:ascii="宋体" w:hAnsi="宋体"/>
          <w:color w:val="000000"/>
          <w:sz w:val="24"/>
        </w:rPr>
        <w:t>约定为准。本合同附件及国家或北京市相关法律法规政策在合同期间内如发生变更的，以变更后的为准。本合同后未能附载的附件内容以甲方网站（</w:t>
      </w:r>
      <w:r>
        <w:rPr>
          <w:rFonts w:ascii="宋体" w:hAnsi="宋体"/>
          <w:sz w:val="24"/>
        </w:rPr>
        <w:fldChar w:fldCharType="begin"/>
      </w:r>
      <w:r>
        <w:rPr>
          <w:rFonts w:ascii="宋体" w:hAnsi="宋体"/>
          <w:sz w:val="24"/>
        </w:rPr>
        <w:instrText xml:space="preserve">HYPERLINK "http://www.bjmac.gov.cn"</w:instrText>
      </w:r>
      <w:r>
        <w:rPr>
          <w:rFonts w:ascii="宋体" w:hAnsi="宋体"/>
          <w:sz w:val="24"/>
        </w:rPr>
        <w:fldChar w:fldCharType="separate"/>
      </w:r>
      <w:r>
        <w:rPr>
          <w:rFonts w:ascii="宋体" w:hAnsi="宋体"/>
          <w:color w:val="000000"/>
          <w:sz w:val="24"/>
        </w:rPr>
        <w:t>www.bjmac.gov.cn</w:t>
      </w:r>
      <w:r>
        <w:rPr>
          <w:rFonts w:ascii="宋体" w:hAnsi="宋体"/>
          <w:sz w:val="24"/>
        </w:rPr>
        <w:fldChar w:fldCharType="end"/>
      </w:r>
      <w:r>
        <w:rPr>
          <w:rFonts w:hint="eastAsia" w:ascii="宋体" w:hAnsi="宋体"/>
          <w:color w:val="000000"/>
          <w:sz w:val="24"/>
        </w:rPr>
        <w:t>）公示为准。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附件1  《项目委托单位及承担单位情况》</w:t>
      </w:r>
    </w:p>
    <w:p>
      <w:pPr>
        <w:spacing w:line="360" w:lineRule="auto"/>
        <w:ind w:firstLine="480" w:firstLineChars="200"/>
        <w:rPr>
          <w:rFonts w:hint="eastAsia" w:ascii="宋体" w:hAnsi="宋体" w:cs="宋体"/>
          <w:sz w:val="24"/>
        </w:rPr>
      </w:pPr>
      <w:r>
        <w:rPr>
          <w:rFonts w:hint="eastAsia" w:ascii="宋体" w:hAnsi="宋体" w:cs="宋体"/>
          <w:sz w:val="24"/>
        </w:rPr>
        <w:t xml:space="preserve">附件2  </w:t>
      </w:r>
      <w:r>
        <w:rPr>
          <w:rFonts w:hint="eastAsia" w:ascii="宋体" w:hAnsi="宋体" w:cs="宋体"/>
          <w:color w:val="000000"/>
          <w:sz w:val="24"/>
        </w:rPr>
        <w:t>《项目</w:t>
      </w:r>
      <w:r>
        <w:rPr>
          <w:rFonts w:hint="eastAsia" w:ascii="宋体" w:hAnsi="宋体" w:cs="宋体"/>
          <w:sz w:val="24"/>
        </w:rPr>
        <w:t>承担单位、项目负责人、项目成员》</w:t>
      </w:r>
    </w:p>
    <w:p>
      <w:pPr>
        <w:spacing w:line="360" w:lineRule="auto"/>
        <w:ind w:firstLine="480" w:firstLineChars="200"/>
        <w:rPr>
          <w:rFonts w:hint="eastAsia" w:ascii="宋体" w:hAnsi="宋体" w:cs="宋体"/>
          <w:sz w:val="24"/>
        </w:rPr>
      </w:pPr>
      <w:r>
        <w:rPr>
          <w:rFonts w:hint="eastAsia" w:ascii="宋体" w:hAnsi="宋体" w:cs="宋体"/>
          <w:color w:val="000000"/>
          <w:sz w:val="24"/>
        </w:rPr>
        <w:t>附件3  《项目联系卡</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sectPr>
          <w:type w:val="continuous"/>
          <w:pgSz w:w="11906" w:h="16838"/>
          <w:pgMar w:top="1440" w:right="1800" w:bottom="1440" w:left="1800" w:header="851" w:footer="992" w:gutter="0"/>
          <w:cols w:space="720" w:num="1"/>
          <w:docGrid w:type="lines" w:linePitch="312" w:charSpace="0"/>
        </w:sectPr>
      </w:pPr>
    </w:p>
    <w:p>
      <w:pPr>
        <w:spacing w:line="44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附件1</w:t>
      </w:r>
    </w:p>
    <w:p>
      <w:pPr>
        <w:spacing w:line="440" w:lineRule="exact"/>
        <w:jc w:val="center"/>
        <w:rPr>
          <w:rFonts w:ascii="宋体" w:hAnsi="宋体"/>
          <w:b/>
          <w:sz w:val="36"/>
          <w:szCs w:val="36"/>
        </w:rPr>
      </w:pPr>
      <w:r>
        <w:rPr>
          <w:rFonts w:hint="eastAsia" w:ascii="宋体" w:hAnsi="宋体"/>
          <w:b/>
          <w:sz w:val="36"/>
          <w:szCs w:val="36"/>
        </w:rPr>
        <w:t>项目委托单位及承担单位情况</w:t>
      </w:r>
    </w:p>
    <w:p>
      <w:pPr>
        <w:rPr>
          <w:rFonts w:ascii="宋体" w:hAnsi="宋体"/>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8"/>
        <w:gridCol w:w="1620"/>
        <w:gridCol w:w="72"/>
        <w:gridCol w:w="1008"/>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exact"/>
          <w:jc w:val="center"/>
        </w:trPr>
        <w:tc>
          <w:tcPr>
            <w:tcW w:w="540" w:type="dxa"/>
            <w:vMerge w:val="restart"/>
            <w:noWrap w:val="0"/>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委托人︵甲方︶</w:t>
            </w:r>
          </w:p>
        </w:tc>
        <w:tc>
          <w:tcPr>
            <w:tcW w:w="2088" w:type="dxa"/>
            <w:noWrap w:val="0"/>
            <w:vAlign w:val="center"/>
          </w:tcPr>
          <w:p>
            <w:pPr>
              <w:jc w:val="center"/>
              <w:rPr>
                <w:rFonts w:ascii="宋体" w:hAnsi="宋体"/>
                <w:sz w:val="20"/>
                <w:szCs w:val="20"/>
              </w:rPr>
            </w:pPr>
            <w:r>
              <w:rPr>
                <w:rFonts w:hint="eastAsia" w:ascii="宋体" w:hAnsi="宋体"/>
                <w:sz w:val="20"/>
                <w:szCs w:val="20"/>
              </w:rPr>
              <w:t>名称（或姓名）</w:t>
            </w:r>
          </w:p>
        </w:tc>
        <w:tc>
          <w:tcPr>
            <w:tcW w:w="4680" w:type="dxa"/>
            <w:gridSpan w:val="5"/>
            <w:noWrap w:val="0"/>
            <w:vAlign w:val="center"/>
          </w:tcPr>
          <w:p>
            <w:pPr>
              <w:jc w:val="center"/>
              <w:rPr>
                <w:rFonts w:ascii="宋体" w:hAnsi="宋体"/>
                <w:sz w:val="20"/>
                <w:szCs w:val="20"/>
              </w:rPr>
            </w:pPr>
            <w:r>
              <w:rPr>
                <w:rFonts w:hint="eastAsia" w:ascii="宋体" w:hAnsi="宋体"/>
                <w:sz w:val="20"/>
                <w:szCs w:val="20"/>
              </w:rPr>
              <w:t>北京市城市管理委员会</w:t>
            </w:r>
          </w:p>
          <w:p>
            <w:pPr>
              <w:jc w:val="center"/>
              <w:rPr>
                <w:rFonts w:ascii="宋体" w:hAnsi="宋体"/>
                <w:sz w:val="20"/>
                <w:szCs w:val="20"/>
              </w:rPr>
            </w:pPr>
            <w:r>
              <w:rPr>
                <w:rFonts w:hint="eastAsia" w:ascii="宋体" w:hAnsi="宋体"/>
                <w:sz w:val="20"/>
                <w:szCs w:val="20"/>
              </w:rPr>
              <w:t>（签  章）</w:t>
            </w:r>
          </w:p>
        </w:tc>
        <w:tc>
          <w:tcPr>
            <w:tcW w:w="1800" w:type="dxa"/>
            <w:vMerge w:val="restart"/>
            <w:noWrap w:val="0"/>
            <w:vAlign w:val="center"/>
          </w:tcPr>
          <w:p>
            <w:pPr>
              <w:pStyle w:val="15"/>
              <w:jc w:val="center"/>
              <w:rPr>
                <w:rFonts w:ascii="宋体" w:hAnsi="宋体"/>
                <w:sz w:val="20"/>
                <w:szCs w:val="20"/>
              </w:rPr>
            </w:pPr>
          </w:p>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ind w:firstLine="200" w:firstLineChars="100"/>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noWrap w:val="0"/>
            <w:vAlign w:val="center"/>
          </w:tcPr>
          <w:p>
            <w:pPr>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noWrap w:val="0"/>
            <w:vAlign w:val="center"/>
          </w:tcPr>
          <w:p>
            <w:pPr>
              <w:ind w:firstLine="600" w:firstLineChars="300"/>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spacing w:line="360" w:lineRule="exact"/>
              <w:jc w:val="center"/>
              <w:rPr>
                <w:rFonts w:ascii="宋体" w:hAnsi="宋体"/>
                <w:sz w:val="20"/>
                <w:szCs w:val="20"/>
              </w:rPr>
            </w:pPr>
            <w:r>
              <w:rPr>
                <w:rFonts w:hint="eastAsia" w:ascii="宋体" w:hAnsi="宋体"/>
                <w:sz w:val="20"/>
                <w:szCs w:val="20"/>
              </w:rPr>
              <w:t>住  所</w:t>
            </w:r>
          </w:p>
          <w:p>
            <w:pPr>
              <w:spacing w:line="360" w:lineRule="exact"/>
              <w:jc w:val="center"/>
              <w:rPr>
                <w:rFonts w:ascii="宋体" w:hAnsi="宋体"/>
                <w:sz w:val="20"/>
                <w:szCs w:val="20"/>
              </w:rPr>
            </w:pPr>
            <w:r>
              <w:rPr>
                <w:rFonts w:hint="eastAsia" w:ascii="宋体" w:hAnsi="宋体"/>
                <w:sz w:val="20"/>
                <w:szCs w:val="20"/>
              </w:rPr>
              <w:t>（通讯地址）</w:t>
            </w:r>
          </w:p>
        </w:tc>
        <w:tc>
          <w:tcPr>
            <w:tcW w:w="2700" w:type="dxa"/>
            <w:gridSpan w:val="3"/>
            <w:noWrap w:val="0"/>
            <w:vAlign w:val="center"/>
          </w:tcPr>
          <w:p>
            <w:pPr>
              <w:jc w:val="center"/>
              <w:rPr>
                <w:rFonts w:ascii="宋体" w:hAnsi="宋体"/>
                <w:sz w:val="20"/>
                <w:szCs w:val="20"/>
              </w:rPr>
            </w:pPr>
            <w:r>
              <w:rPr>
                <w:rFonts w:hint="eastAsia" w:ascii="宋体" w:hAnsi="宋体"/>
                <w:sz w:val="20"/>
                <w:szCs w:val="20"/>
              </w:rPr>
              <w:t>北京市西城区西单北大街</w:t>
            </w:r>
            <w:r>
              <w:rPr>
                <w:rFonts w:ascii="宋体" w:hAnsi="宋体"/>
                <w:sz w:val="20"/>
                <w:szCs w:val="20"/>
              </w:rPr>
              <w:t>80</w:t>
            </w:r>
            <w:r>
              <w:rPr>
                <w:rFonts w:hint="eastAsia" w:ascii="宋体" w:hAnsi="宋体"/>
                <w:sz w:val="20"/>
                <w:szCs w:val="20"/>
              </w:rPr>
              <w:t>号</w:t>
            </w:r>
          </w:p>
        </w:tc>
        <w:tc>
          <w:tcPr>
            <w:tcW w:w="720" w:type="dxa"/>
            <w:noWrap w:val="0"/>
            <w:vAlign w:val="center"/>
          </w:tcPr>
          <w:p>
            <w:pPr>
              <w:spacing w:line="360" w:lineRule="exact"/>
              <w:jc w:val="center"/>
              <w:rPr>
                <w:rFonts w:ascii="宋体" w:hAnsi="宋体"/>
                <w:sz w:val="20"/>
                <w:szCs w:val="20"/>
              </w:rPr>
            </w:pPr>
            <w:r>
              <w:rPr>
                <w:rFonts w:hint="eastAsia" w:ascii="宋体" w:hAnsi="宋体"/>
                <w:sz w:val="20"/>
                <w:szCs w:val="20"/>
              </w:rPr>
              <w:t>邮政</w:t>
            </w:r>
          </w:p>
          <w:p>
            <w:pPr>
              <w:spacing w:line="360" w:lineRule="exact"/>
              <w:jc w:val="center"/>
              <w:rPr>
                <w:rFonts w:ascii="宋体" w:hAnsi="宋体"/>
                <w:sz w:val="20"/>
                <w:szCs w:val="20"/>
              </w:rPr>
            </w:pPr>
            <w:r>
              <w:rPr>
                <w:rFonts w:hint="eastAsia" w:ascii="宋体" w:hAnsi="宋体"/>
                <w:sz w:val="20"/>
                <w:szCs w:val="20"/>
              </w:rPr>
              <w:t>编码</w:t>
            </w:r>
          </w:p>
        </w:tc>
        <w:tc>
          <w:tcPr>
            <w:tcW w:w="1260" w:type="dxa"/>
            <w:noWrap w:val="0"/>
            <w:vAlign w:val="center"/>
          </w:tcPr>
          <w:p>
            <w:pPr>
              <w:jc w:val="center"/>
              <w:rPr>
                <w:rFonts w:ascii="宋体" w:hAnsi="宋体"/>
                <w:szCs w:val="21"/>
              </w:rPr>
            </w:pPr>
            <w:r>
              <w:rPr>
                <w:rFonts w:hint="eastAsia" w:ascii="宋体" w:hAnsi="宋体"/>
                <w:szCs w:val="21"/>
              </w:rPr>
              <w:t>100032</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电  话</w:t>
            </w:r>
          </w:p>
        </w:tc>
        <w:tc>
          <w:tcPr>
            <w:tcW w:w="1620" w:type="dxa"/>
            <w:noWrap w:val="0"/>
            <w:vAlign w:val="center"/>
          </w:tcPr>
          <w:p>
            <w:pPr>
              <w:jc w:val="center"/>
              <w:rPr>
                <w:rFonts w:ascii="宋体" w:hAnsi="宋体"/>
                <w:szCs w:val="21"/>
              </w:rPr>
            </w:pPr>
          </w:p>
        </w:tc>
        <w:tc>
          <w:tcPr>
            <w:tcW w:w="1080" w:type="dxa"/>
            <w:gridSpan w:val="2"/>
            <w:noWrap w:val="0"/>
            <w:vAlign w:val="center"/>
          </w:tcPr>
          <w:p>
            <w:pPr>
              <w:jc w:val="center"/>
              <w:rPr>
                <w:rFonts w:ascii="宋体" w:hAnsi="宋体"/>
                <w:sz w:val="20"/>
                <w:szCs w:val="20"/>
              </w:rPr>
            </w:pPr>
            <w:r>
              <w:rPr>
                <w:rFonts w:hint="eastAsia" w:ascii="宋体" w:hAnsi="宋体"/>
                <w:sz w:val="20"/>
                <w:szCs w:val="20"/>
              </w:rPr>
              <w:t>传 真</w:t>
            </w:r>
          </w:p>
        </w:tc>
        <w:tc>
          <w:tcPr>
            <w:tcW w:w="1980" w:type="dxa"/>
            <w:gridSpan w:val="2"/>
            <w:noWrap w:val="0"/>
            <w:vAlign w:val="center"/>
          </w:tcPr>
          <w:p>
            <w:pPr>
              <w:jc w:val="center"/>
              <w:rPr>
                <w:rFonts w:ascii="宋体" w:hAnsi="宋体"/>
                <w:szCs w:val="21"/>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540" w:type="dxa"/>
            <w:vMerge w:val="restart"/>
            <w:noWrap w:val="0"/>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受托人︵乙方︶</w:t>
            </w:r>
          </w:p>
        </w:tc>
        <w:tc>
          <w:tcPr>
            <w:tcW w:w="2088" w:type="dxa"/>
            <w:noWrap w:val="0"/>
            <w:vAlign w:val="center"/>
          </w:tcPr>
          <w:p>
            <w:pPr>
              <w:spacing w:line="460" w:lineRule="exact"/>
              <w:jc w:val="center"/>
              <w:rPr>
                <w:rFonts w:ascii="宋体" w:hAnsi="宋体"/>
                <w:sz w:val="20"/>
                <w:szCs w:val="20"/>
              </w:rPr>
            </w:pPr>
            <w:r>
              <w:rPr>
                <w:rFonts w:hint="eastAsia" w:ascii="宋体" w:hAnsi="宋体"/>
                <w:sz w:val="20"/>
                <w:szCs w:val="20"/>
              </w:rPr>
              <w:t>名称（或姓名）</w:t>
            </w:r>
          </w:p>
        </w:tc>
        <w:tc>
          <w:tcPr>
            <w:tcW w:w="4680" w:type="dxa"/>
            <w:gridSpan w:val="5"/>
            <w:noWrap w:val="0"/>
            <w:vAlign w:val="center"/>
          </w:tcPr>
          <w:p>
            <w:pPr>
              <w:spacing w:line="400" w:lineRule="exact"/>
              <w:ind w:firstLine="2800" w:firstLineChars="1400"/>
              <w:jc w:val="center"/>
              <w:rPr>
                <w:rFonts w:ascii="宋体" w:hAnsi="宋体"/>
                <w:sz w:val="20"/>
                <w:szCs w:val="20"/>
              </w:rPr>
            </w:pPr>
            <w:r>
              <w:rPr>
                <w:rFonts w:hint="eastAsia" w:ascii="宋体" w:hAnsi="宋体"/>
                <w:sz w:val="20"/>
                <w:szCs w:val="20"/>
              </w:rPr>
              <w:t>（签章）</w:t>
            </w:r>
          </w:p>
        </w:tc>
        <w:tc>
          <w:tcPr>
            <w:tcW w:w="1800" w:type="dxa"/>
            <w:vMerge w:val="restart"/>
            <w:noWrap w:val="0"/>
            <w:vAlign w:val="center"/>
          </w:tcPr>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ind w:left="-97" w:leftChars="-46"/>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noWrap w:val="0"/>
            <w:vAlign w:val="center"/>
          </w:tcPr>
          <w:p>
            <w:pPr>
              <w:ind w:right="960"/>
              <w:jc w:val="center"/>
              <w:rPr>
                <w:rFonts w:ascii="宋体" w:hAnsi="宋体"/>
                <w:sz w:val="20"/>
                <w:szCs w:val="20"/>
              </w:rPr>
            </w:pPr>
          </w:p>
          <w:p>
            <w:pPr>
              <w:ind w:firstLine="2400" w:firstLineChars="1200"/>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noWrap w:val="0"/>
            <w:vAlign w:val="center"/>
          </w:tcPr>
          <w:p>
            <w:pPr>
              <w:spacing w:line="600" w:lineRule="exact"/>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住所</w:t>
            </w:r>
          </w:p>
          <w:p>
            <w:pPr>
              <w:jc w:val="center"/>
              <w:rPr>
                <w:rFonts w:ascii="宋体" w:hAnsi="宋体"/>
                <w:sz w:val="20"/>
                <w:szCs w:val="20"/>
              </w:rPr>
            </w:pPr>
            <w:r>
              <w:rPr>
                <w:rFonts w:hint="eastAsia" w:ascii="宋体" w:hAnsi="宋体"/>
                <w:sz w:val="20"/>
                <w:szCs w:val="20"/>
              </w:rPr>
              <w:t>（通讯地址）</w:t>
            </w:r>
          </w:p>
        </w:tc>
        <w:tc>
          <w:tcPr>
            <w:tcW w:w="2700" w:type="dxa"/>
            <w:gridSpan w:val="3"/>
            <w:noWrap w:val="0"/>
            <w:vAlign w:val="center"/>
          </w:tcPr>
          <w:p>
            <w:pPr>
              <w:spacing w:line="320" w:lineRule="exact"/>
              <w:jc w:val="center"/>
              <w:rPr>
                <w:rFonts w:ascii="宋体" w:hAnsi="宋体"/>
                <w:color w:val="FF0000"/>
                <w:sz w:val="20"/>
                <w:szCs w:val="20"/>
              </w:rPr>
            </w:pPr>
          </w:p>
        </w:tc>
        <w:tc>
          <w:tcPr>
            <w:tcW w:w="720" w:type="dxa"/>
            <w:noWrap w:val="0"/>
            <w:vAlign w:val="center"/>
          </w:tcPr>
          <w:p>
            <w:pPr>
              <w:spacing w:line="360" w:lineRule="exact"/>
              <w:jc w:val="center"/>
              <w:rPr>
                <w:rFonts w:ascii="宋体" w:hAnsi="宋体"/>
                <w:sz w:val="20"/>
                <w:szCs w:val="20"/>
              </w:rPr>
            </w:pPr>
            <w:r>
              <w:rPr>
                <w:rFonts w:hint="eastAsia" w:ascii="宋体" w:hAnsi="宋体"/>
                <w:sz w:val="20"/>
                <w:szCs w:val="20"/>
              </w:rPr>
              <w:t>邮政</w:t>
            </w:r>
          </w:p>
          <w:p>
            <w:pPr>
              <w:jc w:val="center"/>
              <w:rPr>
                <w:rFonts w:ascii="宋体" w:hAnsi="宋体"/>
                <w:sz w:val="20"/>
                <w:szCs w:val="20"/>
              </w:rPr>
            </w:pPr>
            <w:r>
              <w:rPr>
                <w:rFonts w:hint="eastAsia" w:ascii="宋体" w:hAnsi="宋体"/>
                <w:sz w:val="20"/>
                <w:szCs w:val="20"/>
              </w:rPr>
              <w:t>编码</w:t>
            </w:r>
          </w:p>
        </w:tc>
        <w:tc>
          <w:tcPr>
            <w:tcW w:w="1260" w:type="dxa"/>
            <w:noWrap w:val="0"/>
            <w:vAlign w:val="center"/>
          </w:tcPr>
          <w:p>
            <w:pPr>
              <w:spacing w:line="320" w:lineRule="exact"/>
              <w:jc w:val="center"/>
              <w:rPr>
                <w:rFonts w:ascii="宋体" w:hAnsi="宋体"/>
                <w:szCs w:val="21"/>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电话</w:t>
            </w:r>
          </w:p>
        </w:tc>
        <w:tc>
          <w:tcPr>
            <w:tcW w:w="1692" w:type="dxa"/>
            <w:gridSpan w:val="2"/>
            <w:noWrap w:val="0"/>
            <w:vAlign w:val="center"/>
          </w:tcPr>
          <w:p>
            <w:pPr>
              <w:spacing w:line="320" w:lineRule="exact"/>
              <w:jc w:val="center"/>
              <w:rPr>
                <w:rFonts w:ascii="宋体" w:hAnsi="宋体"/>
                <w:szCs w:val="21"/>
              </w:rPr>
            </w:pPr>
          </w:p>
        </w:tc>
        <w:tc>
          <w:tcPr>
            <w:tcW w:w="1008" w:type="dxa"/>
            <w:noWrap w:val="0"/>
            <w:vAlign w:val="center"/>
          </w:tcPr>
          <w:p>
            <w:pPr>
              <w:jc w:val="center"/>
              <w:rPr>
                <w:rFonts w:ascii="宋体" w:hAnsi="宋体"/>
                <w:sz w:val="20"/>
                <w:szCs w:val="20"/>
              </w:rPr>
            </w:pPr>
            <w:r>
              <w:rPr>
                <w:rFonts w:hint="eastAsia" w:ascii="宋体" w:hAnsi="宋体"/>
                <w:sz w:val="20"/>
                <w:szCs w:val="20"/>
              </w:rPr>
              <w:t>传 真</w:t>
            </w:r>
          </w:p>
        </w:tc>
        <w:tc>
          <w:tcPr>
            <w:tcW w:w="1980" w:type="dxa"/>
            <w:gridSpan w:val="2"/>
            <w:noWrap w:val="0"/>
            <w:vAlign w:val="center"/>
          </w:tcPr>
          <w:p>
            <w:pPr>
              <w:jc w:val="center"/>
              <w:rPr>
                <w:rFonts w:ascii="宋体" w:hAnsi="宋体"/>
                <w:szCs w:val="21"/>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开户银行</w:t>
            </w:r>
          </w:p>
        </w:tc>
        <w:tc>
          <w:tcPr>
            <w:tcW w:w="4680" w:type="dxa"/>
            <w:gridSpan w:val="5"/>
            <w:noWrap w:val="0"/>
            <w:vAlign w:val="center"/>
          </w:tcPr>
          <w:p>
            <w:pPr>
              <w:jc w:val="center"/>
              <w:rPr>
                <w:rFonts w:ascii="宋体" w:hAnsi="宋体"/>
                <w:sz w:val="20"/>
                <w:szCs w:val="20"/>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lang w:val="en-US" w:eastAsia="zh-CN"/>
              </w:rPr>
              <w:t>账</w:t>
            </w:r>
            <w:r>
              <w:rPr>
                <w:rFonts w:hint="eastAsia" w:ascii="宋体" w:hAnsi="宋体"/>
                <w:sz w:val="20"/>
                <w:szCs w:val="20"/>
              </w:rPr>
              <w:t>号</w:t>
            </w:r>
          </w:p>
        </w:tc>
        <w:tc>
          <w:tcPr>
            <w:tcW w:w="4680" w:type="dxa"/>
            <w:gridSpan w:val="5"/>
            <w:noWrap w:val="0"/>
            <w:vAlign w:val="center"/>
          </w:tcPr>
          <w:p>
            <w:pPr>
              <w:ind w:firstLine="840" w:firstLineChars="400"/>
              <w:jc w:val="center"/>
              <w:rPr>
                <w:rFonts w:ascii="宋体" w:hAnsi="宋体"/>
                <w:szCs w:val="21"/>
              </w:rPr>
            </w:pPr>
          </w:p>
        </w:tc>
        <w:tc>
          <w:tcPr>
            <w:tcW w:w="1800" w:type="dxa"/>
            <w:vMerge w:val="continue"/>
            <w:noWrap w:val="0"/>
            <w:vAlign w:val="center"/>
          </w:tcPr>
          <w:p>
            <w:pPr>
              <w:ind w:firstLine="400" w:firstLineChars="200"/>
              <w:jc w:val="center"/>
              <w:rPr>
                <w:rFonts w:ascii="宋体" w:hAnsi="宋体"/>
                <w:sz w:val="20"/>
                <w:szCs w:val="20"/>
              </w:rPr>
            </w:pPr>
          </w:p>
        </w:tc>
      </w:tr>
    </w:tbl>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sectPr>
          <w:type w:val="continuous"/>
          <w:pgSz w:w="11906" w:h="16838"/>
          <w:pgMar w:top="1440" w:right="1800" w:bottom="1440" w:left="1800" w:header="851" w:footer="992" w:gutter="0"/>
          <w:cols w:space="720" w:num="1"/>
          <w:docGrid w:type="lines" w:linePitch="312" w:charSpace="0"/>
        </w:sectPr>
      </w:pPr>
    </w:p>
    <w:p>
      <w:pPr>
        <w:pStyle w:val="53"/>
        <w:rPr>
          <w:rFonts w:hint="eastAsia" w:ascii="宋体" w:hAnsi="宋体" w:eastAsia="宋体" w:cs="Times New Roman"/>
          <w:color w:val="auto"/>
          <w:szCs w:val="24"/>
          <w:lang w:eastAsia="zh-CN"/>
        </w:rPr>
      </w:pPr>
      <w:r>
        <w:rPr>
          <w:rFonts w:ascii="宋体" w:hAnsi="宋体" w:eastAsia="宋体" w:cs="Times New Roman"/>
          <w:color w:val="auto"/>
          <w:szCs w:val="24"/>
          <w:lang w:eastAsia="zh-CN"/>
        </w:rPr>
        <w:br w:type="page"/>
      </w:r>
      <w:r>
        <w:rPr>
          <w:rFonts w:hint="eastAsia" w:ascii="宋体" w:hAnsi="宋体" w:eastAsia="宋体" w:cs="Times New Roman"/>
          <w:color w:val="auto"/>
          <w:szCs w:val="24"/>
          <w:lang w:eastAsia="zh-CN"/>
        </w:rPr>
        <w:t>附件2：项目承担单位、项目负责人、项目成员</w:t>
      </w:r>
    </w:p>
    <w:tbl>
      <w:tblPr>
        <w:tblStyle w:val="33"/>
        <w:tblpPr w:leftFromText="180" w:rightFromText="180" w:vertAnchor="text" w:horzAnchor="page" w:tblpX="1223" w:tblpY="146"/>
        <w:tblOverlap w:val="neve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5"/>
        <w:gridCol w:w="1080"/>
        <w:gridCol w:w="1275"/>
        <w:gridCol w:w="1290"/>
        <w:gridCol w:w="1489"/>
        <w:gridCol w:w="1601"/>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000000"/>
                <w:sz w:val="24"/>
              </w:rPr>
            </w:pPr>
            <w:r>
              <w:rPr>
                <w:rFonts w:hint="eastAsia" w:ascii="宋体" w:hAnsi="宋体"/>
                <w:b/>
                <w:sz w:val="24"/>
              </w:rPr>
              <w:t>项目承担单位名称</w:t>
            </w:r>
          </w:p>
        </w:tc>
        <w:tc>
          <w:tcPr>
            <w:tcW w:w="8580"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000000"/>
                <w:sz w:val="24"/>
              </w:rPr>
            </w:pPr>
            <w:r>
              <w:rPr>
                <w:rFonts w:hint="eastAsia" w:ascii="宋体" w:hAnsi="宋体"/>
                <w:b/>
                <w:sz w:val="24"/>
              </w:rPr>
              <w:t>主要分工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858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b/>
                <w:sz w:val="24"/>
              </w:rPr>
            </w:pPr>
            <w:r>
              <w:rPr>
                <w:rFonts w:hint="eastAsia" w:ascii="宋体" w:hAnsi="宋体"/>
                <w:b/>
                <w:sz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sz w:val="24"/>
              </w:rPr>
              <w:t>学历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sz w:val="24"/>
              </w:rPr>
            </w:pPr>
            <w:r>
              <w:rPr>
                <w:rFonts w:hint="eastAsia" w:ascii="宋体" w:hAnsi="宋体"/>
                <w:sz w:val="24"/>
              </w:rPr>
              <w:t>职称</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000000"/>
                <w:sz w:val="24"/>
              </w:rPr>
            </w:pPr>
            <w:r>
              <w:rPr>
                <w:rFonts w:hint="eastAsia" w:ascii="宋体" w:hAnsi="宋体"/>
                <w:b/>
                <w:color w:val="000000"/>
                <w:sz w:val="24"/>
              </w:rPr>
              <w:t>项目成员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学历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职称</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hint="eastAsia"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bl>
    <w:p>
      <w:pPr>
        <w:snapToGrid w:val="0"/>
        <w:rPr>
          <w:rFonts w:ascii="宋体" w:hAnsi="宋体"/>
          <w:sz w:val="24"/>
          <w:szCs w:val="44"/>
        </w:rPr>
      </w:pPr>
    </w:p>
    <w:p>
      <w:pPr>
        <w:rPr>
          <w:rFonts w:hint="eastAsia" w:ascii="宋体" w:hAnsi="宋体" w:cs="宋体"/>
          <w:sz w:val="24"/>
        </w:rPr>
        <w:sectPr>
          <w:type w:val="continuous"/>
          <w:pgSz w:w="11906" w:h="16838"/>
          <w:pgMar w:top="1440" w:right="1800" w:bottom="1440" w:left="1800" w:header="851" w:footer="992" w:gutter="0"/>
          <w:cols w:space="720" w:num="1"/>
          <w:docGrid w:type="lines" w:linePitch="312" w:charSpace="0"/>
        </w:sectPr>
      </w:pPr>
    </w:p>
    <w:p>
      <w:pPr>
        <w:pStyle w:val="53"/>
        <w:rPr>
          <w:rFonts w:ascii="宋体" w:hAnsi="宋体" w:eastAsia="宋体" w:cs="Times New Roman"/>
          <w:color w:val="auto"/>
          <w:sz w:val="32"/>
          <w:szCs w:val="32"/>
          <w:lang w:eastAsia="zh-CN"/>
        </w:rPr>
      </w:pPr>
      <w:r>
        <w:rPr>
          <w:rFonts w:ascii="宋体" w:hAnsi="宋体" w:eastAsia="宋体" w:cs="Times New Roman"/>
          <w:color w:val="auto"/>
          <w:szCs w:val="24"/>
          <w:lang w:eastAsia="zh-CN"/>
        </w:rPr>
        <w:br w:type="page"/>
      </w:r>
      <w:r>
        <w:rPr>
          <w:rFonts w:hint="eastAsia" w:ascii="宋体" w:hAnsi="宋体" w:eastAsia="宋体" w:cs="Times New Roman"/>
          <w:color w:val="auto"/>
          <w:szCs w:val="24"/>
          <w:lang w:eastAsia="zh-CN"/>
        </w:rPr>
        <w:t>附件3</w:t>
      </w:r>
    </w:p>
    <w:p>
      <w:pPr>
        <w:pStyle w:val="53"/>
        <w:jc w:val="center"/>
        <w:rPr>
          <w:rFonts w:ascii="宋体" w:hAnsi="宋体" w:eastAsia="宋体" w:cs="Times New Roman"/>
          <w:color w:val="auto"/>
          <w:sz w:val="44"/>
          <w:szCs w:val="44"/>
          <w:lang w:eastAsia="zh-CN"/>
        </w:rPr>
      </w:pPr>
      <w:r>
        <w:rPr>
          <w:rFonts w:hint="eastAsia" w:ascii="宋体" w:hAnsi="宋体" w:eastAsia="宋体" w:cs="Times New Roman"/>
          <w:color w:val="auto"/>
          <w:sz w:val="44"/>
          <w:szCs w:val="44"/>
          <w:lang w:eastAsia="zh-CN"/>
        </w:rPr>
        <w:t>项目联系卡</w:t>
      </w:r>
    </w:p>
    <w:tbl>
      <w:tblPr>
        <w:tblStyle w:val="33"/>
        <w:tblW w:w="0" w:type="auto"/>
        <w:jc w:val="center"/>
        <w:tblLayout w:type="fixed"/>
        <w:tblCellMar>
          <w:top w:w="0" w:type="dxa"/>
          <w:left w:w="0" w:type="dxa"/>
          <w:bottom w:w="0" w:type="dxa"/>
          <w:right w:w="0" w:type="dxa"/>
        </w:tblCellMar>
      </w:tblPr>
      <w:tblGrid>
        <w:gridCol w:w="1636"/>
        <w:gridCol w:w="3065"/>
        <w:gridCol w:w="1448"/>
        <w:gridCol w:w="2896"/>
      </w:tblGrid>
      <w:tr>
        <w:tblPrEx>
          <w:tblCellMar>
            <w:top w:w="0" w:type="dxa"/>
            <w:left w:w="0" w:type="dxa"/>
            <w:bottom w:w="0" w:type="dxa"/>
            <w:right w:w="0" w:type="dxa"/>
          </w:tblCellMar>
        </w:tblPrEx>
        <w:trPr>
          <w:trHeight w:val="851" w:hRule="atLeast"/>
          <w:jc w:val="center"/>
        </w:trPr>
        <w:tc>
          <w:tcPr>
            <w:tcW w:w="9045" w:type="dxa"/>
            <w:gridSpan w:val="4"/>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乙方</w:t>
            </w: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单位名称</w:t>
            </w:r>
          </w:p>
        </w:tc>
        <w:tc>
          <w:tcPr>
            <w:tcW w:w="3065" w:type="dxa"/>
            <w:tcBorders>
              <w:top w:val="nil"/>
              <w:left w:val="single" w:color="000000" w:sz="4" w:space="0"/>
              <w:bottom w:val="single" w:color="000000" w:sz="4" w:space="0"/>
              <w:right w:val="single" w:color="000000" w:sz="4" w:space="0"/>
            </w:tcBorders>
            <w:noWrap w:val="0"/>
            <w:vAlign w:val="center"/>
          </w:tcPr>
          <w:p>
            <w:pPr>
              <w:jc w:val="center"/>
              <w:rPr>
                <w:rFonts w:ascii="宋体" w:hAnsi="宋体"/>
                <w:sz w:val="22"/>
                <w:szCs w:val="22"/>
              </w:rPr>
            </w:pPr>
          </w:p>
        </w:tc>
        <w:tc>
          <w:tcPr>
            <w:tcW w:w="1448"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单位负责人</w:t>
            </w:r>
          </w:p>
        </w:tc>
        <w:tc>
          <w:tcPr>
            <w:tcW w:w="2896"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单位地址</w:t>
            </w:r>
          </w:p>
        </w:tc>
        <w:tc>
          <w:tcPr>
            <w:tcW w:w="3065"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2"/>
                <w:szCs w:val="22"/>
              </w:rPr>
            </w:pPr>
          </w:p>
        </w:tc>
        <w:tc>
          <w:tcPr>
            <w:tcW w:w="1448"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邮政编码</w:t>
            </w:r>
          </w:p>
        </w:tc>
        <w:tc>
          <w:tcPr>
            <w:tcW w:w="2896"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项目负责人</w:t>
            </w:r>
          </w:p>
        </w:tc>
        <w:tc>
          <w:tcPr>
            <w:tcW w:w="3065"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项目联系人</w:t>
            </w:r>
          </w:p>
        </w:tc>
        <w:tc>
          <w:tcPr>
            <w:tcW w:w="2896"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联系人电话</w:t>
            </w:r>
          </w:p>
        </w:tc>
        <w:tc>
          <w:tcPr>
            <w:tcW w:w="3065"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联系人手机</w:t>
            </w:r>
          </w:p>
        </w:tc>
        <w:tc>
          <w:tcPr>
            <w:tcW w:w="2896"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电子邮箱</w:t>
            </w:r>
          </w:p>
        </w:tc>
        <w:tc>
          <w:tcPr>
            <w:tcW w:w="3065"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传真</w:t>
            </w:r>
          </w:p>
        </w:tc>
        <w:tc>
          <w:tcPr>
            <w:tcW w:w="2896"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bl>
    <w:p>
      <w:pPr>
        <w:rPr>
          <w:rFonts w:ascii="宋体" w:hAnsi="宋体"/>
        </w:rPr>
      </w:pPr>
    </w:p>
    <w:p>
      <w:pPr>
        <w:ind w:left="1280" w:hanging="1280" w:hangingChars="400"/>
        <w:rPr>
          <w:rFonts w:ascii="宋体" w:hAnsi="宋体"/>
          <w:sz w:val="32"/>
          <w:szCs w:val="32"/>
        </w:rPr>
      </w:pPr>
    </w:p>
    <w:p>
      <w:pPr>
        <w:spacing w:line="440" w:lineRule="exact"/>
        <w:rPr>
          <w:rFonts w:ascii="宋体" w:hAnsi="宋体"/>
          <w:color w:val="FF0000"/>
          <w:kern w:val="1"/>
          <w:sz w:val="24"/>
        </w:rPr>
      </w:pPr>
    </w:p>
    <w:p>
      <w:pPr>
        <w:spacing w:line="440" w:lineRule="exact"/>
        <w:rPr>
          <w:rFonts w:ascii="宋体" w:hAnsi="宋体"/>
          <w:color w:val="FF0000"/>
          <w:kern w:val="1"/>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sectPr>
          <w:footerReference r:id="rId7" w:type="default"/>
          <w:footerReference r:id="rId8" w:type="even"/>
          <w:type w:val="continuous"/>
          <w:pgSz w:w="11906" w:h="16838"/>
          <w:pgMar w:top="1440" w:right="1800" w:bottom="1440" w:left="1800" w:header="851" w:footer="992" w:gutter="0"/>
          <w:cols w:space="720" w:num="1"/>
          <w:docGrid w:type="lines" w:linePitch="312" w:charSpace="0"/>
        </w:sectPr>
      </w:pPr>
    </w:p>
    <w:p>
      <w:pPr>
        <w:pStyle w:val="3"/>
        <w:rPr>
          <w:rFonts w:hint="eastAsia" w:ascii="宋体" w:hAnsi="宋体" w:eastAsia="宋体" w:cs="宋体"/>
          <w:color w:val="000000"/>
          <w:sz w:val="24"/>
          <w:szCs w:val="24"/>
        </w:rPr>
      </w:pPr>
      <w:bookmarkStart w:id="89" w:name="_Toc105496507"/>
      <w:bookmarkStart w:id="90" w:name="_Toc511132659"/>
      <w:r>
        <w:rPr>
          <w:rFonts w:ascii="宋体" w:hAnsi="宋体" w:eastAsia="宋体" w:cs="宋体"/>
          <w:color w:val="000000"/>
          <w:sz w:val="24"/>
          <w:szCs w:val="24"/>
        </w:rPr>
        <w:br w:type="page"/>
      </w:r>
      <w:r>
        <w:rPr>
          <w:rFonts w:hint="eastAsia" w:ascii="宋体" w:hAnsi="宋体" w:eastAsia="宋体" w:cs="宋体"/>
          <w:color w:val="000000"/>
          <w:sz w:val="24"/>
          <w:szCs w:val="24"/>
        </w:rPr>
        <w:t>第四章  技术服务需求及说明</w:t>
      </w:r>
      <w:bookmarkEnd w:id="89"/>
      <w:bookmarkEnd w:id="90"/>
    </w:p>
    <w:p>
      <w:pPr>
        <w:spacing w:line="360" w:lineRule="auto"/>
        <w:ind w:left="2159" w:leftChars="228" w:hanging="1680" w:hangingChars="700"/>
        <w:rPr>
          <w:rFonts w:ascii="宋体" w:hAnsi="宋体" w:cs="宋体"/>
          <w:sz w:val="24"/>
          <w:u w:val="none"/>
        </w:rPr>
      </w:pPr>
      <w:bookmarkStart w:id="91" w:name="_Toc511132660"/>
      <w:r>
        <w:rPr>
          <w:rFonts w:hint="eastAsia" w:ascii="宋体" w:hAnsi="宋体" w:cs="宋体"/>
          <w:sz w:val="24"/>
        </w:rPr>
        <w:t xml:space="preserve">一、项目名称: </w:t>
      </w:r>
      <w:r>
        <w:rPr>
          <w:rFonts w:hint="eastAsia" w:ascii="宋体" w:hAnsi="宋体" w:eastAsia="宋体" w:cs="宋体"/>
          <w:b w:val="0"/>
          <w:sz w:val="24"/>
          <w:szCs w:val="24"/>
          <w:u w:val="none"/>
          <w:lang w:eastAsia="zh-CN"/>
        </w:rPr>
        <w:t>固体废弃物管理服务</w:t>
      </w:r>
      <w:r>
        <w:rPr>
          <w:rFonts w:hint="eastAsia" w:ascii="宋体" w:hAnsi="宋体" w:eastAsia="宋体" w:cs="宋体"/>
          <w:b w:val="0"/>
          <w:sz w:val="24"/>
          <w:szCs w:val="24"/>
          <w:u w:val="none"/>
          <w:lang w:val="en-US" w:eastAsia="zh-CN"/>
        </w:rPr>
        <w:t>-2025年</w:t>
      </w:r>
      <w:r>
        <w:rPr>
          <w:rFonts w:hint="eastAsia" w:ascii="宋体" w:hAnsi="宋体" w:eastAsia="宋体" w:cs="宋体"/>
          <w:b w:val="0"/>
          <w:sz w:val="24"/>
          <w:szCs w:val="24"/>
          <w:u w:val="none"/>
        </w:rPr>
        <w:t>北京市可回收物运行情况</w:t>
      </w:r>
      <w:r>
        <w:rPr>
          <w:rFonts w:hint="eastAsia" w:ascii="宋体" w:hAnsi="宋体" w:cs="宋体"/>
          <w:sz w:val="24"/>
          <w:u w:val="none"/>
        </w:rPr>
        <w:t>调查服务</w:t>
      </w:r>
      <w:r>
        <w:rPr>
          <w:rFonts w:hint="eastAsia"/>
          <w:color w:val="000000"/>
          <w:sz w:val="24"/>
          <w:u w:val="none"/>
        </w:rPr>
        <w:t>。</w:t>
      </w:r>
    </w:p>
    <w:p>
      <w:pPr>
        <w:spacing w:line="360" w:lineRule="auto"/>
        <w:ind w:firstLine="480" w:firstLineChars="200"/>
        <w:rPr>
          <w:rFonts w:ascii="宋体" w:hAnsi="宋体" w:cs="宋体"/>
          <w:sz w:val="24"/>
        </w:rPr>
      </w:pPr>
      <w:r>
        <w:rPr>
          <w:rFonts w:hint="eastAsia" w:ascii="宋体" w:hAnsi="宋体" w:cs="宋体"/>
          <w:sz w:val="24"/>
        </w:rPr>
        <w:t>二、项目立项依据与背景</w:t>
      </w:r>
    </w:p>
    <w:p>
      <w:pPr>
        <w:snapToGrid w:val="0"/>
        <w:spacing w:line="360" w:lineRule="auto"/>
        <w:ind w:firstLine="480" w:firstLineChars="200"/>
        <w:rPr>
          <w:rFonts w:hint="eastAsia" w:ascii="宋体" w:hAnsi="宋体" w:eastAsia="宋体" w:cs="Times New Roman"/>
          <w:bCs/>
          <w:sz w:val="24"/>
          <w:lang w:eastAsia="zh-CN"/>
        </w:rPr>
      </w:pPr>
      <w:r>
        <w:rPr>
          <w:rFonts w:hint="eastAsia" w:ascii="宋体" w:hAnsi="宋体" w:eastAsia="宋体" w:cs="Times New Roman"/>
          <w:bCs/>
          <w:sz w:val="24"/>
        </w:rPr>
        <w:t>可回收物体系是生活垃圾管理体系建设的重要组成部分，是垃圾减量化、资源化的重要抓手</w:t>
      </w:r>
      <w:r>
        <w:rPr>
          <w:rFonts w:hint="eastAsia" w:ascii="宋体" w:hAnsi="宋体" w:eastAsia="宋体" w:cs="Times New Roman"/>
          <w:bCs/>
          <w:sz w:val="24"/>
          <w:lang w:eastAsia="zh-CN"/>
        </w:rPr>
        <w:t>。</w:t>
      </w:r>
      <w:r>
        <w:rPr>
          <w:rFonts w:hint="eastAsia" w:ascii="宋体" w:hAnsi="宋体" w:eastAsia="宋体" w:cs="Times New Roman"/>
          <w:bCs/>
          <w:sz w:val="24"/>
        </w:rPr>
        <w:t>随着《北京市生活垃圾管理条例》实施以及《关于加强本市可回收物体系建设的意见》《北京市可回收物体系建设管理导则》中提出的可回收物体系建设要求，本市</w:t>
      </w:r>
      <w:r>
        <w:rPr>
          <w:rFonts w:hint="eastAsia" w:ascii="宋体" w:hAnsi="宋体" w:eastAsia="宋体" w:cs="Times New Roman"/>
          <w:bCs/>
          <w:sz w:val="24"/>
          <w:lang w:eastAsia="zh-CN"/>
        </w:rPr>
        <w:t>建立了</w:t>
      </w:r>
      <w:r>
        <w:rPr>
          <w:rFonts w:hint="eastAsia" w:ascii="宋体" w:hAnsi="宋体" w:eastAsia="宋体" w:cs="Times New Roman"/>
          <w:bCs/>
          <w:sz w:val="24"/>
        </w:rPr>
        <w:t>可回收物交投点、中转站以及分拣中心三级体系。根据《“十四五”时期环卫事业发展规划》中的相关要求，需要建设“低碳城市”，构建全过程资源循环利用体系。</w:t>
      </w:r>
      <w:r>
        <w:rPr>
          <w:rFonts w:hint="eastAsia" w:ascii="宋体" w:hAnsi="宋体" w:eastAsia="宋体" w:cs="Times New Roman"/>
          <w:bCs/>
          <w:sz w:val="24"/>
          <w:lang w:val="en-US" w:eastAsia="zh-CN"/>
        </w:rPr>
        <w:t>2025年6月，</w:t>
      </w:r>
      <w:r>
        <w:rPr>
          <w:rFonts w:hint="eastAsia" w:ascii="宋体" w:hAnsi="宋体" w:eastAsia="宋体" w:cs="Times New Roman"/>
          <w:bCs/>
          <w:sz w:val="24"/>
        </w:rPr>
        <w:t>住房和城乡建设部</w:t>
      </w:r>
      <w:r>
        <w:rPr>
          <w:rFonts w:hint="eastAsia" w:ascii="宋体" w:hAnsi="宋体" w:eastAsia="宋体" w:cs="Times New Roman"/>
          <w:bCs/>
          <w:sz w:val="24"/>
          <w:lang w:eastAsia="zh-CN"/>
        </w:rPr>
        <w:t>等部门印发</w:t>
      </w:r>
      <w:r>
        <w:rPr>
          <w:rFonts w:hint="eastAsia" w:ascii="宋体" w:hAnsi="宋体" w:eastAsia="宋体" w:cs="Times New Roman"/>
          <w:bCs/>
          <w:sz w:val="24"/>
        </w:rPr>
        <w:t>《推动生活垃圾分类与再生资源回收网点衔接融合加快构建可回收物回收利用体系工作方案》</w:t>
      </w:r>
      <w:r>
        <w:rPr>
          <w:rFonts w:hint="eastAsia" w:ascii="宋体" w:hAnsi="宋体" w:eastAsia="宋体" w:cs="Times New Roman"/>
          <w:bCs/>
          <w:sz w:val="24"/>
          <w:lang w:eastAsia="zh-CN"/>
        </w:rPr>
        <w:t>，要求进一步深化再生资源回收利用体系与生活垃圾收运体系“两网融合”，进一步畅通可回收物便民回收渠道。我市</w:t>
      </w:r>
      <w:r>
        <w:rPr>
          <w:rFonts w:hint="eastAsia" w:ascii="宋体" w:hAnsi="宋体" w:eastAsia="宋体" w:cs="Times New Roman"/>
          <w:bCs/>
          <w:sz w:val="24"/>
          <w:lang w:val="en-US" w:eastAsia="zh-CN"/>
        </w:rPr>
        <w:t>以“便民、简化、利民”为出发点，大力推行“高低值统收、便利直达居民、企业运营可持续”的便民回收渠道建设，推进可回收物体系“点、站、中心”规范化、标准化建设。</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当前</w:t>
      </w:r>
      <w:r>
        <w:rPr>
          <w:rFonts w:hint="eastAsia" w:ascii="宋体" w:hAnsi="宋体" w:eastAsia="宋体" w:cs="Times New Roman"/>
          <w:bCs/>
          <w:sz w:val="24"/>
          <w:lang w:eastAsia="zh-CN"/>
        </w:rPr>
        <w:t>，</w:t>
      </w:r>
      <w:r>
        <w:rPr>
          <w:rFonts w:hint="eastAsia" w:ascii="宋体" w:hAnsi="宋体" w:eastAsia="宋体" w:cs="Times New Roman"/>
          <w:bCs/>
          <w:sz w:val="24"/>
        </w:rPr>
        <w:t>各区(地区)在市级部门指导下，大力推进</w:t>
      </w:r>
      <w:r>
        <w:rPr>
          <w:rFonts w:hint="eastAsia" w:ascii="宋体" w:hAnsi="宋体" w:eastAsia="宋体" w:cs="Times New Roman"/>
          <w:bCs/>
          <w:sz w:val="24"/>
          <w:lang w:eastAsia="zh-CN"/>
        </w:rPr>
        <w:t>便民回收渠道</w:t>
      </w:r>
      <w:r>
        <w:rPr>
          <w:rFonts w:hint="eastAsia" w:ascii="宋体" w:hAnsi="宋体" w:eastAsia="宋体" w:cs="Times New Roman"/>
          <w:bCs/>
          <w:sz w:val="24"/>
        </w:rPr>
        <w:t>建设，但掌握的标准还不高，推进的力度也参差不齐，因此有必要定期对</w:t>
      </w:r>
      <w:r>
        <w:rPr>
          <w:rFonts w:hint="eastAsia" w:ascii="宋体" w:hAnsi="宋体" w:eastAsia="宋体" w:cs="Times New Roman"/>
          <w:bCs/>
          <w:sz w:val="24"/>
          <w:lang w:eastAsia="zh-CN"/>
        </w:rPr>
        <w:t>便民回收渠道</w:t>
      </w:r>
      <w:r>
        <w:rPr>
          <w:rFonts w:hint="eastAsia" w:ascii="宋体" w:hAnsi="宋体" w:eastAsia="宋体" w:cs="Times New Roman"/>
          <w:bCs/>
          <w:sz w:val="24"/>
        </w:rPr>
        <w:t>建设情况进行摸底，同时结合北京市现状和国内先进城市成熟做法，提出我市创新构建再生资源回收体系长效式管理机制。</w:t>
      </w:r>
    </w:p>
    <w:p>
      <w:pPr>
        <w:spacing w:line="360" w:lineRule="auto"/>
        <w:ind w:firstLine="480" w:firstLineChars="200"/>
        <w:rPr>
          <w:rFonts w:hint="eastAsia" w:ascii="宋体" w:hAnsi="宋体"/>
          <w:bCs/>
          <w:sz w:val="24"/>
        </w:rPr>
      </w:pPr>
      <w:r>
        <w:rPr>
          <w:rFonts w:hint="eastAsia" w:ascii="宋体" w:hAnsi="宋体"/>
          <w:bCs/>
          <w:sz w:val="24"/>
        </w:rPr>
        <w:t>本项目的开展，通过摸底调查与评估，为后期制定相关政策提供重要参考，有助于落实《北京市生活垃圾管理条例》中的相关要求，支持再生资源回收行业发展。</w:t>
      </w:r>
    </w:p>
    <w:p>
      <w:pPr>
        <w:spacing w:line="360" w:lineRule="auto"/>
        <w:ind w:firstLine="480" w:firstLineChars="200"/>
        <w:rPr>
          <w:rFonts w:ascii="宋体" w:hAnsi="宋体" w:cs="宋体"/>
          <w:sz w:val="24"/>
        </w:rPr>
      </w:pPr>
      <w:r>
        <w:rPr>
          <w:rFonts w:hint="eastAsia" w:ascii="宋体" w:hAnsi="宋体" w:cs="宋体"/>
          <w:sz w:val="24"/>
        </w:rPr>
        <w:t>三、工作内容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①摸底调研。</w:t>
      </w:r>
      <w:r>
        <w:rPr>
          <w:rFonts w:hint="eastAsia" w:ascii="宋体" w:hAnsi="宋体" w:cs="宋体"/>
          <w:sz w:val="24"/>
          <w:lang w:eastAsia="zh-CN"/>
        </w:rPr>
        <w:t>重点围绕低值可回收物，定期</w:t>
      </w:r>
      <w:r>
        <w:rPr>
          <w:rFonts w:hint="eastAsia" w:ascii="宋体" w:hAnsi="宋体" w:cs="宋体"/>
          <w:sz w:val="24"/>
        </w:rPr>
        <w:t>对各区可回收物</w:t>
      </w:r>
      <w:r>
        <w:rPr>
          <w:rFonts w:hint="eastAsia" w:ascii="宋体" w:hAnsi="宋体" w:cs="宋体"/>
          <w:sz w:val="24"/>
          <w:lang w:eastAsia="zh-CN"/>
        </w:rPr>
        <w:t>体系建设和运行</w:t>
      </w:r>
      <w:r>
        <w:rPr>
          <w:rFonts w:hint="eastAsia" w:ascii="宋体" w:hAnsi="宋体" w:cs="宋体"/>
          <w:sz w:val="24"/>
        </w:rPr>
        <w:t>情况进行</w:t>
      </w:r>
      <w:r>
        <w:rPr>
          <w:rFonts w:hint="eastAsia" w:ascii="宋体" w:hAnsi="宋体" w:cs="宋体"/>
          <w:sz w:val="24"/>
          <w:lang w:eastAsia="zh-CN"/>
        </w:rPr>
        <w:t>调研</w:t>
      </w:r>
      <w:r>
        <w:rPr>
          <w:rFonts w:hint="eastAsia" w:ascii="宋体" w:hAnsi="宋体" w:cs="宋体"/>
          <w:sz w:val="24"/>
        </w:rPr>
        <w:t>跟踪，</w:t>
      </w:r>
      <w:r>
        <w:rPr>
          <w:rFonts w:hint="eastAsia" w:ascii="宋体" w:hAnsi="宋体" w:cs="宋体"/>
          <w:sz w:val="24"/>
          <w:lang w:eastAsia="zh-CN"/>
        </w:rPr>
        <w:t>收集汇总各区便民回收渠道建设运行</w:t>
      </w:r>
      <w:r>
        <w:rPr>
          <w:rFonts w:hint="eastAsia" w:ascii="宋体" w:hAnsi="宋体" w:cs="宋体"/>
          <w:sz w:val="24"/>
        </w:rPr>
        <w:t>情况。编制《202</w:t>
      </w:r>
      <w:r>
        <w:rPr>
          <w:rFonts w:hint="eastAsia" w:ascii="宋体" w:hAnsi="宋体" w:cs="宋体"/>
          <w:sz w:val="24"/>
          <w:lang w:val="en-US" w:eastAsia="zh-CN"/>
        </w:rPr>
        <w:t>5</w:t>
      </w:r>
      <w:r>
        <w:rPr>
          <w:rFonts w:hint="eastAsia" w:ascii="宋体" w:hAnsi="宋体" w:cs="宋体"/>
          <w:sz w:val="24"/>
        </w:rPr>
        <w:t>年北京市可回收物运行情况调查报告》。</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eastAsia="zh-CN"/>
        </w:rPr>
        <w:t>专项调研</w:t>
      </w:r>
      <w:r>
        <w:rPr>
          <w:rFonts w:hint="eastAsia" w:ascii="宋体" w:hAnsi="宋体" w:eastAsia="宋体" w:cs="宋体"/>
          <w:sz w:val="24"/>
        </w:rPr>
        <w:t>。</w:t>
      </w:r>
      <w:r>
        <w:rPr>
          <w:rFonts w:hint="eastAsia" w:ascii="宋体" w:hAnsi="宋体" w:eastAsia="宋体" w:cs="宋体"/>
          <w:sz w:val="24"/>
          <w:lang w:eastAsia="zh-CN"/>
        </w:rPr>
        <w:t>开展大件垃圾回收体系建设专项调研，</w:t>
      </w:r>
      <w:r>
        <w:rPr>
          <w:rFonts w:hint="eastAsia" w:ascii="宋体" w:hAnsi="宋体" w:eastAsia="宋体" w:cs="宋体"/>
          <w:bCs w:val="0"/>
          <w:color w:val="000000"/>
          <w:sz w:val="24"/>
          <w:lang w:eastAsia="zh-CN"/>
        </w:rPr>
        <w:t>梳理和</w:t>
      </w:r>
      <w:r>
        <w:rPr>
          <w:rFonts w:hint="eastAsia" w:ascii="宋体" w:hAnsi="宋体" w:eastAsia="宋体" w:cs="宋体"/>
          <w:bCs w:val="0"/>
          <w:color w:val="000000"/>
          <w:sz w:val="24"/>
        </w:rPr>
        <w:t>对比分析国内</w:t>
      </w:r>
      <w:r>
        <w:rPr>
          <w:rFonts w:hint="eastAsia" w:ascii="宋体" w:hAnsi="宋体" w:eastAsia="宋体" w:cs="宋体"/>
          <w:bCs w:val="0"/>
          <w:color w:val="000000"/>
          <w:sz w:val="24"/>
          <w:lang w:eastAsia="zh-CN"/>
        </w:rPr>
        <w:t>大件垃圾</w:t>
      </w:r>
      <w:r>
        <w:rPr>
          <w:rFonts w:hint="eastAsia" w:ascii="宋体" w:hAnsi="宋体" w:eastAsia="宋体" w:cs="宋体"/>
          <w:bCs w:val="0"/>
          <w:color w:val="000000"/>
          <w:sz w:val="24"/>
        </w:rPr>
        <w:t>管理的相关经验和制度，</w:t>
      </w:r>
      <w:r>
        <w:rPr>
          <w:rFonts w:hint="eastAsia" w:ascii="宋体" w:hAnsi="宋体" w:eastAsia="宋体" w:cs="宋体"/>
          <w:sz w:val="24"/>
        </w:rPr>
        <w:t>针对北京市</w:t>
      </w:r>
      <w:r>
        <w:rPr>
          <w:rFonts w:hint="eastAsia" w:ascii="宋体" w:hAnsi="宋体" w:eastAsia="宋体" w:cs="宋体"/>
          <w:sz w:val="24"/>
          <w:lang w:eastAsia="zh-CN"/>
        </w:rPr>
        <w:t>大件垃圾管理</w:t>
      </w:r>
      <w:r>
        <w:rPr>
          <w:rFonts w:hint="eastAsia" w:ascii="宋体" w:hAnsi="宋体" w:eastAsia="宋体" w:cs="宋体"/>
          <w:sz w:val="24"/>
        </w:rPr>
        <w:t>工作提出建议。</w:t>
      </w:r>
      <w:r>
        <w:rPr>
          <w:rFonts w:hint="eastAsia" w:ascii="宋体" w:hAnsi="宋体" w:eastAsia="宋体" w:cs="宋体"/>
          <w:bCs w:val="0"/>
          <w:color w:val="000000"/>
          <w:sz w:val="24"/>
          <w:lang w:eastAsia="zh-CN"/>
        </w:rPr>
        <w:t>编制《北京市大件垃圾回收体系运行情况调查报告》。</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③基础性研究。借鉴国内外先进经验，</w:t>
      </w:r>
      <w:r>
        <w:rPr>
          <w:rFonts w:hint="eastAsia" w:ascii="宋体" w:hAnsi="宋体" w:eastAsia="宋体" w:cs="宋体"/>
          <w:bCs/>
          <w:color w:val="000000"/>
          <w:sz w:val="24"/>
          <w:lang w:eastAsia="zh-CN"/>
        </w:rPr>
        <w:t>研究设计北京市再生资源回收日活动品牌名称、视觉标识、宣传口号等，形成品牌策划方案，为打造具有首都特色和全国影响力的垃圾分类品牌活动提供支撑。</w:t>
      </w:r>
      <w:r>
        <w:rPr>
          <w:rFonts w:hint="eastAsia" w:ascii="宋体" w:hAnsi="宋体" w:eastAsia="宋体" w:cs="宋体"/>
          <w:bCs/>
          <w:color w:val="000000"/>
          <w:sz w:val="24"/>
        </w:rPr>
        <w:t>进一步研究具有本市特色的“可回收物体系</w:t>
      </w:r>
      <w:r>
        <w:rPr>
          <w:rFonts w:hint="eastAsia" w:ascii="宋体" w:hAnsi="宋体" w:eastAsia="宋体" w:cs="宋体"/>
          <w:bCs/>
          <w:color w:val="000000"/>
          <w:sz w:val="24"/>
          <w:lang w:eastAsia="zh-CN"/>
        </w:rPr>
        <w:t>视觉识别系统</w:t>
      </w:r>
      <w:r>
        <w:rPr>
          <w:rFonts w:hint="eastAsia" w:ascii="宋体" w:hAnsi="宋体" w:eastAsia="宋体" w:cs="宋体"/>
          <w:bCs/>
          <w:color w:val="000000"/>
          <w:sz w:val="24"/>
        </w:rPr>
        <w:t>”，指导“点、站、中心”提升行业形象，提升规范化管理水平。</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sz w:val="24"/>
        </w:rPr>
        <w:t>④</w:t>
      </w:r>
      <w:r>
        <w:rPr>
          <w:rFonts w:hint="eastAsia" w:ascii="宋体" w:hAnsi="宋体" w:cs="宋体"/>
          <w:bCs/>
          <w:color w:val="000000"/>
          <w:sz w:val="24"/>
          <w:lang w:eastAsia="zh-CN"/>
        </w:rPr>
        <w:t>调研</w:t>
      </w:r>
      <w:r>
        <w:rPr>
          <w:rFonts w:hint="eastAsia" w:ascii="宋体" w:hAnsi="宋体" w:cs="宋体"/>
          <w:bCs/>
          <w:color w:val="000000"/>
          <w:sz w:val="24"/>
        </w:rPr>
        <w:t>梳理国内垃圾分类和再生资源回收“两网融合”成功经验和做法，研究促进垃圾分类和再生资源回收“两网融合”路线图</w:t>
      </w:r>
      <w:r>
        <w:rPr>
          <w:rFonts w:hint="eastAsia" w:ascii="宋体" w:hAnsi="宋体" w:cs="宋体"/>
          <w:bCs/>
          <w:color w:val="000000"/>
          <w:sz w:val="24"/>
          <w:lang w:eastAsia="zh-CN"/>
        </w:rPr>
        <w:t>，</w:t>
      </w:r>
      <w:r>
        <w:rPr>
          <w:rFonts w:hint="eastAsia" w:ascii="宋体" w:hAnsi="宋体" w:cs="宋体"/>
          <w:bCs/>
          <w:color w:val="000000"/>
          <w:sz w:val="24"/>
        </w:rPr>
        <w:t>形成垃圾分类和再生资源回收“两网融合”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lang w:eastAsia="zh-CN"/>
        </w:rPr>
        <w:t>。</w:t>
      </w:r>
    </w:p>
    <w:p>
      <w:pPr>
        <w:spacing w:line="360" w:lineRule="auto"/>
        <w:ind w:firstLine="480" w:firstLineChars="200"/>
        <w:rPr>
          <w:rFonts w:ascii="宋体" w:hAnsi="宋体" w:cs="宋体"/>
          <w:sz w:val="24"/>
        </w:rPr>
      </w:pPr>
      <w:r>
        <w:rPr>
          <w:rFonts w:hint="eastAsia" w:ascii="宋体" w:hAnsi="宋体" w:cs="宋体"/>
          <w:sz w:val="24"/>
        </w:rPr>
        <w:t>四、</w:t>
      </w:r>
      <w:r>
        <w:rPr>
          <w:rFonts w:hint="eastAsia" w:ascii="宋体" w:hAnsi="宋体" w:cs="宋体"/>
          <w:bCs/>
          <w:sz w:val="24"/>
        </w:rPr>
        <w:t>预期成果</w:t>
      </w:r>
    </w:p>
    <w:p>
      <w:pPr>
        <w:snapToGrid w:val="0"/>
        <w:spacing w:line="360" w:lineRule="auto"/>
        <w:ind w:firstLine="480" w:firstLineChars="200"/>
        <w:jc w:val="left"/>
        <w:rPr>
          <w:rFonts w:ascii="宋体" w:hAnsi="宋体" w:cs="宋体"/>
          <w:sz w:val="24"/>
        </w:rPr>
      </w:pPr>
      <w:r>
        <w:rPr>
          <w:rFonts w:hint="eastAsia" w:ascii="宋体" w:hAnsi="宋体" w:cs="宋体"/>
          <w:sz w:val="24"/>
        </w:rPr>
        <w:t>项目成果：</w:t>
      </w:r>
    </w:p>
    <w:p>
      <w:pPr>
        <w:spacing w:line="360" w:lineRule="auto"/>
        <w:ind w:firstLine="480" w:firstLineChars="200"/>
        <w:jc w:val="left"/>
        <w:rPr>
          <w:rFonts w:hint="eastAsia"/>
          <w:color w:val="000000"/>
          <w:sz w:val="24"/>
        </w:rPr>
      </w:pPr>
      <w:r>
        <w:rPr>
          <w:rFonts w:hint="eastAsia" w:ascii="宋体" w:hAnsi="宋体" w:cs="宋体"/>
          <w:sz w:val="24"/>
        </w:rPr>
        <w:t>（1）</w:t>
      </w:r>
      <w:r>
        <w:rPr>
          <w:color w:val="000000"/>
          <w:sz w:val="24"/>
        </w:rPr>
        <w:t>所有调查原始数据的纸质版和电子版。</w:t>
      </w:r>
    </w:p>
    <w:p>
      <w:pPr>
        <w:spacing w:line="360" w:lineRule="auto"/>
        <w:ind w:firstLine="480" w:firstLineChars="200"/>
        <w:rPr>
          <w:rFonts w:hint="eastAsia" w:ascii="宋体" w:hAnsi="宋体" w:cs="宋体"/>
          <w:bCs/>
          <w:color w:val="000000"/>
          <w:sz w:val="24"/>
        </w:rPr>
      </w:pPr>
      <w:r>
        <w:rPr>
          <w:rFonts w:hint="eastAsia" w:ascii="宋体" w:hAnsi="宋体" w:cs="宋体"/>
          <w:sz w:val="24"/>
        </w:rPr>
        <w:t>（2）</w:t>
      </w:r>
      <w:r>
        <w:rPr>
          <w:rFonts w:hint="eastAsia" w:ascii="宋体" w:hAnsi="宋体" w:cs="宋体"/>
          <w:bCs/>
          <w:color w:val="000000"/>
          <w:sz w:val="24"/>
        </w:rPr>
        <w:t>形成</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年北京市可回收物运行情况调查报告》</w:t>
      </w:r>
      <w:r>
        <w:rPr>
          <w:rFonts w:hint="eastAsia" w:ascii="宋体" w:hAnsi="宋体" w:cs="宋体"/>
          <w:bCs/>
          <w:color w:val="000000"/>
          <w:sz w:val="24"/>
          <w:lang w:eastAsia="zh-CN"/>
        </w:rPr>
        <w:t>《北京市大件垃圾回收体系运行情况调查报告》《</w:t>
      </w:r>
      <w:r>
        <w:rPr>
          <w:rFonts w:hint="eastAsia" w:ascii="宋体" w:hAnsi="宋体" w:eastAsia="宋体" w:cs="宋体"/>
          <w:bCs/>
          <w:color w:val="000000"/>
          <w:sz w:val="24"/>
          <w:lang w:eastAsia="zh-CN"/>
        </w:rPr>
        <w:t>北京市再生资源回收日活动品牌策划方案</w:t>
      </w:r>
      <w:r>
        <w:rPr>
          <w:rFonts w:hint="eastAsia" w:ascii="宋体" w:hAnsi="宋体" w:cs="宋体"/>
          <w:bCs/>
          <w:color w:val="000000"/>
          <w:sz w:val="24"/>
          <w:lang w:eastAsia="zh-CN"/>
        </w:rPr>
        <w:t>》《北京市</w:t>
      </w:r>
      <w:r>
        <w:rPr>
          <w:rFonts w:hint="eastAsia" w:ascii="宋体" w:hAnsi="宋体" w:eastAsia="宋体" w:cs="宋体"/>
          <w:bCs/>
          <w:color w:val="000000"/>
          <w:sz w:val="24"/>
        </w:rPr>
        <w:t>可回收物体系</w:t>
      </w:r>
      <w:r>
        <w:rPr>
          <w:rFonts w:hint="eastAsia" w:ascii="宋体" w:hAnsi="宋体" w:eastAsia="宋体" w:cs="宋体"/>
          <w:bCs/>
          <w:color w:val="000000"/>
          <w:sz w:val="24"/>
          <w:lang w:eastAsia="zh-CN"/>
        </w:rPr>
        <w:t>视觉识别系统</w:t>
      </w:r>
      <w:r>
        <w:rPr>
          <w:rFonts w:hint="eastAsia" w:ascii="宋体" w:hAnsi="宋体" w:cs="宋体"/>
          <w:bCs/>
          <w:color w:val="000000"/>
          <w:sz w:val="24"/>
          <w:lang w:eastAsia="zh-CN"/>
        </w:rPr>
        <w:t>》</w:t>
      </w:r>
      <w:r>
        <w:rPr>
          <w:rFonts w:hint="eastAsia" w:ascii="宋体" w:hAnsi="宋体" w:cs="宋体"/>
          <w:sz w:val="24"/>
          <w:highlight w:val="none"/>
        </w:rPr>
        <w:t>《</w:t>
      </w:r>
      <w:r>
        <w:rPr>
          <w:rFonts w:hint="eastAsia" w:ascii="宋体" w:hAnsi="宋体" w:cs="宋体"/>
          <w:bCs/>
          <w:color w:val="000000"/>
          <w:sz w:val="24"/>
        </w:rPr>
        <w:t>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rPr>
        <w:t>》</w:t>
      </w:r>
      <w:r>
        <w:rPr>
          <w:rFonts w:hint="eastAsia" w:ascii="宋体" w:hAnsi="宋体" w:cs="宋体"/>
          <w:bCs/>
          <w:color w:val="000000"/>
          <w:sz w:val="24"/>
        </w:rPr>
        <w:t>。</w:t>
      </w:r>
    </w:p>
    <w:p>
      <w:pPr>
        <w:spacing w:line="360" w:lineRule="auto"/>
        <w:ind w:firstLine="481" w:firstLineChars="200"/>
        <w:rPr>
          <w:rStyle w:val="43"/>
          <w:rFonts w:hint="eastAsia" w:eastAsia="宋体" w:cs="宋体"/>
          <w:color w:val="000000"/>
          <w:sz w:val="24"/>
          <w:szCs w:val="24"/>
        </w:rPr>
      </w:pPr>
    </w:p>
    <w:p>
      <w:pPr>
        <w:spacing w:line="360" w:lineRule="auto"/>
        <w:ind w:firstLine="481" w:firstLineChars="200"/>
        <w:jc w:val="center"/>
        <w:rPr>
          <w:rStyle w:val="43"/>
          <w:rFonts w:hint="eastAsia" w:eastAsia="宋体" w:cs="宋体"/>
          <w:color w:val="000000"/>
          <w:sz w:val="24"/>
          <w:szCs w:val="24"/>
        </w:rPr>
      </w:pPr>
    </w:p>
    <w:p>
      <w:pPr>
        <w:spacing w:line="360" w:lineRule="auto"/>
        <w:ind w:firstLine="481" w:firstLineChars="200"/>
        <w:jc w:val="center"/>
        <w:rPr>
          <w:rStyle w:val="43"/>
          <w:rFonts w:hint="eastAsia" w:eastAsia="宋体" w:cs="宋体"/>
          <w:color w:val="000000"/>
          <w:sz w:val="24"/>
          <w:szCs w:val="24"/>
        </w:rPr>
        <w:sectPr>
          <w:type w:val="continuous"/>
          <w:pgSz w:w="11906" w:h="16838"/>
          <w:pgMar w:top="1440" w:right="1800" w:bottom="1440" w:left="1800" w:header="851" w:footer="992" w:gutter="0"/>
          <w:cols w:space="720" w:num="1"/>
          <w:docGrid w:type="lines" w:linePitch="312" w:charSpace="0"/>
        </w:sectPr>
      </w:pPr>
    </w:p>
    <w:p>
      <w:pPr>
        <w:spacing w:line="360" w:lineRule="auto"/>
        <w:jc w:val="center"/>
        <w:rPr>
          <w:rStyle w:val="43"/>
          <w:rFonts w:hint="eastAsia" w:ascii="宋体" w:hAnsi="宋体" w:eastAsia="宋体" w:cs="宋体"/>
          <w:b w:val="0"/>
          <w:bCs w:val="0"/>
          <w:kern w:val="2"/>
          <w:sz w:val="24"/>
          <w:szCs w:val="24"/>
        </w:rPr>
      </w:pPr>
      <w:bookmarkStart w:id="92" w:name="_Toc105496508"/>
      <w:r>
        <w:rPr>
          <w:rStyle w:val="43"/>
          <w:rFonts w:eastAsia="宋体" w:cs="宋体"/>
          <w:color w:val="000000"/>
          <w:sz w:val="24"/>
          <w:szCs w:val="24"/>
        </w:rPr>
        <w:br w:type="page"/>
      </w:r>
      <w:r>
        <w:rPr>
          <w:rStyle w:val="43"/>
          <w:rFonts w:hint="eastAsia" w:eastAsia="宋体" w:cs="宋体"/>
          <w:color w:val="000000"/>
          <w:sz w:val="24"/>
          <w:szCs w:val="24"/>
        </w:rPr>
        <w:t>第</w:t>
      </w:r>
      <w:r>
        <w:rPr>
          <w:rStyle w:val="43"/>
          <w:rFonts w:hint="eastAsia" w:ascii="宋体" w:hAnsi="宋体" w:eastAsia="宋体" w:cs="宋体"/>
          <w:color w:val="000000"/>
          <w:sz w:val="24"/>
          <w:szCs w:val="24"/>
        </w:rPr>
        <w:t>五章  比选响应文件格式</w:t>
      </w:r>
      <w:bookmarkEnd w:id="91"/>
      <w:bookmarkEnd w:id="92"/>
    </w:p>
    <w:p>
      <w:pPr>
        <w:pStyle w:val="4"/>
        <w:rPr>
          <w:rFonts w:hint="eastAsia" w:ascii="宋体" w:hAnsi="宋体" w:eastAsia="宋体" w:cs="宋体"/>
          <w:color w:val="000000"/>
          <w:szCs w:val="24"/>
        </w:rPr>
      </w:pPr>
      <w:bookmarkStart w:id="93" w:name="_Toc105496509"/>
      <w:bookmarkStart w:id="94" w:name="_Toc68963480"/>
      <w:bookmarkStart w:id="95" w:name="_Toc511132661"/>
    </w:p>
    <w:p>
      <w:pPr>
        <w:pStyle w:val="4"/>
        <w:rPr>
          <w:rFonts w:hint="eastAsia" w:ascii="宋体" w:hAnsi="宋体" w:eastAsia="宋体" w:cs="宋体"/>
          <w:color w:val="000000"/>
          <w:szCs w:val="24"/>
        </w:rPr>
      </w:pPr>
      <w:r>
        <w:rPr>
          <w:rFonts w:hint="eastAsia" w:ascii="宋体" w:hAnsi="宋体" w:eastAsia="宋体" w:cs="宋体"/>
          <w:color w:val="000000"/>
          <w:szCs w:val="24"/>
        </w:rPr>
        <w:t>一、比选函</w:t>
      </w:r>
      <w:bookmarkEnd w:id="93"/>
      <w:bookmarkEnd w:id="94"/>
      <w:bookmarkEnd w:id="95"/>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比选编号：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b/>
          <w:bCs/>
          <w:color w:val="000000"/>
          <w:sz w:val="24"/>
        </w:rPr>
        <w:t xml:space="preserve">致: </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1、我们收到并研究了贵单位的比选文件，对全部比选文件予以确认，愿意按比选文件规定的内容，承担本项目的服务，并保证严格履行我们所承诺的责任和义务。</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2、我单位针对本项目的报价为</w:t>
      </w:r>
      <w:r>
        <w:rPr>
          <w:rFonts w:hint="eastAsia" w:ascii="宋体" w:hAnsi="宋体" w:cs="宋体"/>
          <w:color w:val="000000"/>
          <w:sz w:val="24"/>
          <w:u w:val="single"/>
        </w:rPr>
        <w:t xml:space="preserve">  </w:t>
      </w:r>
      <w:r>
        <w:rPr>
          <w:rFonts w:hint="eastAsia" w:ascii="宋体" w:hAnsi="宋体" w:cs="宋体"/>
          <w:sz w:val="24"/>
          <w:u w:val="single"/>
        </w:rPr>
        <w:t xml:space="preserve">      </w:t>
      </w:r>
      <w:r>
        <w:rPr>
          <w:rFonts w:hint="eastAsia" w:ascii="宋体" w:hAnsi="宋体" w:cs="宋体"/>
          <w:b/>
          <w:sz w:val="24"/>
        </w:rPr>
        <w:t>元</w:t>
      </w:r>
      <w:r>
        <w:rPr>
          <w:rFonts w:hint="eastAsia" w:ascii="宋体" w:hAnsi="宋体" w:cs="宋体"/>
          <w:color w:val="000000"/>
          <w:sz w:val="24"/>
        </w:rPr>
        <w:t>，本比选报价</w:t>
      </w:r>
      <w:r>
        <w:rPr>
          <w:rFonts w:hint="eastAsia" w:ascii="宋体" w:hAnsi="宋体" w:cs="宋体"/>
          <w:color w:val="000000"/>
          <w:sz w:val="24"/>
          <w:lang w:val="en-US" w:eastAsia="zh-CN"/>
        </w:rPr>
        <w:t>已</w:t>
      </w:r>
      <w:r>
        <w:rPr>
          <w:rFonts w:hint="eastAsia" w:ascii="宋体" w:hAnsi="宋体" w:cs="宋体"/>
          <w:color w:val="000000"/>
          <w:sz w:val="24"/>
        </w:rPr>
        <w:t>考虑了所有因素，比选有效期内，比选价格保持不变。</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3、我们已详细审查全部比选文件，包括修改文件（如果有的话）以及全部参考资料和有关附件。我们完全理解并同意放弃对这方面有不明及误解的权利。</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4、如果我们成交，我们保证按比选文件的要求和比选供应商签订服务合同，并成立项目部，选派专业管理人员和服务人员实施服务合同。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5、我们同意从比选之日起</w:t>
      </w:r>
      <w:r>
        <w:rPr>
          <w:rFonts w:hint="eastAsia" w:ascii="宋体" w:hAnsi="宋体" w:cs="宋体"/>
          <w:color w:val="000000"/>
          <w:sz w:val="24"/>
          <w:u w:val="single"/>
        </w:rPr>
        <w:t>90</w:t>
      </w:r>
      <w:r>
        <w:rPr>
          <w:rFonts w:hint="eastAsia" w:ascii="宋体" w:hAnsi="宋体" w:cs="宋体"/>
          <w:color w:val="000000"/>
          <w:sz w:val="24"/>
        </w:rPr>
        <w:t>天内遵守本比选文件，在此期限期满之前的任何时间，本比选文件一直对我们具有约束力。</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6、在制定和执行正式合同之前，本比选文件、比选响应文件连同你方书面的成交通知书，应构成我们双方之间有约束力的合同。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7、我们理解你们并不一定接受最低报价的比选或受到任何比选响应文件的约束，同时也理解，你方不负担我们的任何比选费用。</w:t>
      </w: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bookmarkStart w:id="96" w:name="_Toc68963481"/>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97" w:name="_Toc511132662"/>
      <w:bookmarkStart w:id="98" w:name="_Toc105496510"/>
      <w:r>
        <w:rPr>
          <w:rFonts w:ascii="宋体" w:hAnsi="宋体" w:eastAsia="宋体" w:cs="宋体"/>
          <w:color w:val="000000"/>
          <w:szCs w:val="24"/>
        </w:rPr>
        <w:br w:type="page"/>
      </w:r>
      <w:r>
        <w:rPr>
          <w:rFonts w:hint="eastAsia" w:ascii="宋体" w:hAnsi="宋体" w:eastAsia="宋体" w:cs="宋体"/>
          <w:color w:val="000000"/>
          <w:szCs w:val="24"/>
        </w:rPr>
        <w:t>二、法定代表人授权委托书</w:t>
      </w:r>
      <w:bookmarkEnd w:id="96"/>
      <w:bookmarkEnd w:id="97"/>
      <w:bookmarkEnd w:id="98"/>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adjustRightInd w:val="0"/>
        <w:snapToGrid w:val="0"/>
        <w:spacing w:line="360" w:lineRule="auto"/>
        <w:ind w:firstLine="420"/>
        <w:rPr>
          <w:rFonts w:hint="eastAsia" w:ascii="宋体" w:hAnsi="宋体" w:cs="宋体"/>
          <w:color w:val="000000"/>
          <w:sz w:val="24"/>
          <w:u w:val="single"/>
        </w:rPr>
      </w:pPr>
      <w:r>
        <w:rPr>
          <w:rFonts w:hint="eastAsia" w:ascii="宋体" w:hAnsi="宋体" w:cs="宋体"/>
          <w:color w:val="000000"/>
          <w:sz w:val="24"/>
        </w:rPr>
        <w:t>本授权书在此声明：</w:t>
      </w:r>
      <w:r>
        <w:rPr>
          <w:rFonts w:hint="eastAsia" w:ascii="宋体" w:hAnsi="宋体" w:cs="宋体"/>
          <w:color w:val="000000"/>
          <w:sz w:val="24"/>
          <w:u w:val="single"/>
        </w:rPr>
        <w:t xml:space="preserve">   （比选供应商名称）   的（职务）、（姓名）</w:t>
      </w:r>
      <w:r>
        <w:rPr>
          <w:rFonts w:hint="eastAsia" w:ascii="宋体" w:hAnsi="宋体" w:cs="宋体"/>
          <w:color w:val="000000"/>
          <w:sz w:val="24"/>
        </w:rPr>
        <w:t>以本单位法人代表的身份，代表本单位授权</w:t>
      </w:r>
      <w:r>
        <w:rPr>
          <w:rFonts w:hint="eastAsia" w:ascii="宋体" w:hAnsi="宋体" w:cs="宋体"/>
          <w:color w:val="000000"/>
          <w:sz w:val="24"/>
          <w:u w:val="single"/>
        </w:rPr>
        <w:t>（职务）、（姓名）</w:t>
      </w:r>
      <w:r>
        <w:rPr>
          <w:rFonts w:hint="eastAsia" w:ascii="宋体" w:hAnsi="宋体" w:cs="宋体"/>
          <w:color w:val="000000"/>
          <w:sz w:val="24"/>
        </w:rPr>
        <w:t>为我单位的合法代表，该代理人在</w:t>
      </w:r>
      <w:r>
        <w:rPr>
          <w:rFonts w:hint="eastAsia" w:ascii="宋体" w:hAnsi="宋体" w:cs="宋体"/>
          <w:color w:val="000000"/>
          <w:sz w:val="24"/>
          <w:u w:val="single"/>
        </w:rPr>
        <w:t xml:space="preserve">                  项目</w:t>
      </w:r>
      <w:r>
        <w:rPr>
          <w:rFonts w:hint="eastAsia" w:ascii="宋体" w:hAnsi="宋体" w:cs="宋体"/>
          <w:color w:val="000000"/>
          <w:sz w:val="24"/>
        </w:rPr>
        <w:t>的比选活动、合同谈判、协议书签署等相关行为中，有权全权处理与之相关的一切事宜。</w:t>
      </w:r>
    </w:p>
    <w:p>
      <w:pPr>
        <w:adjustRightInd w:val="0"/>
        <w:snapToGrid w:val="0"/>
        <w:spacing w:line="360" w:lineRule="auto"/>
        <w:ind w:firstLine="420"/>
        <w:rPr>
          <w:rFonts w:hint="eastAsia" w:ascii="宋体" w:hAnsi="宋体" w:cs="宋体"/>
          <w:color w:val="000000"/>
          <w:sz w:val="24"/>
        </w:rPr>
      </w:pPr>
      <w:r>
        <w:rPr>
          <w:rFonts w:hint="eastAsia" w:ascii="宋体" w:hAnsi="宋体" w:cs="宋体"/>
          <w:color w:val="000000"/>
          <w:sz w:val="24"/>
        </w:rPr>
        <w:t>本授权书期限自    年  月  日起至    年  月  日止。</w:t>
      </w:r>
    </w:p>
    <w:p>
      <w:pPr>
        <w:pStyle w:val="22"/>
        <w:adjustRightInd w:val="0"/>
        <w:snapToGrid w:val="0"/>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在此授权范围和期限内，被授权代理人所实施的行为具有法律效力，授权人予以认可。</w:t>
      </w:r>
    </w:p>
    <w:p>
      <w:pPr>
        <w:pStyle w:val="22"/>
        <w:adjustRightInd w:val="0"/>
        <w:snapToGrid w:val="0"/>
        <w:spacing w:line="360" w:lineRule="auto"/>
        <w:ind w:left="506" w:firstLine="554"/>
        <w:rPr>
          <w:rFonts w:hint="eastAsia" w:ascii="宋体" w:hAnsi="宋体" w:cs="宋体"/>
          <w:color w:val="000000"/>
          <w:sz w:val="24"/>
          <w:szCs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比选供应商名称：</w:t>
      </w:r>
      <w:r>
        <w:rPr>
          <w:rFonts w:hint="eastAsia" w:ascii="宋体" w:hAnsi="宋体" w:cs="宋体"/>
          <w:color w:val="000000"/>
          <w:sz w:val="24"/>
          <w:u w:val="single"/>
        </w:rPr>
        <w:t xml:space="preserve">            （法人公章）           </w:t>
      </w:r>
    </w:p>
    <w:p>
      <w:pPr>
        <w:adjustRightInd w:val="0"/>
        <w:snapToGrid w:val="0"/>
        <w:spacing w:line="360" w:lineRule="auto"/>
        <w:ind w:left="5320" w:hanging="5320"/>
        <w:rPr>
          <w:rFonts w:hint="eastAsia" w:ascii="宋体" w:hAnsi="宋体" w:cs="宋体"/>
          <w:color w:val="000000"/>
          <w:spacing w:val="20"/>
          <w:sz w:val="24"/>
        </w:rPr>
      </w:pPr>
    </w:p>
    <w:p>
      <w:pPr>
        <w:adjustRightInd w:val="0"/>
        <w:snapToGrid w:val="0"/>
        <w:spacing w:line="360" w:lineRule="auto"/>
        <w:ind w:left="5320" w:hanging="5320"/>
        <w:rPr>
          <w:rFonts w:hint="eastAsia" w:ascii="宋体" w:hAnsi="宋体" w:cs="宋体"/>
          <w:color w:val="000000"/>
          <w:sz w:val="24"/>
          <w:u w:val="single"/>
        </w:rPr>
      </w:pPr>
      <w:r>
        <w:rPr>
          <w:rFonts w:hint="eastAsia" w:ascii="宋体" w:hAnsi="宋体" w:cs="宋体"/>
          <w:color w:val="000000"/>
          <w:spacing w:val="20"/>
          <w:sz w:val="24"/>
        </w:rPr>
        <w:t>授权人</w:t>
      </w:r>
      <w:r>
        <w:rPr>
          <w:rFonts w:hint="eastAsia" w:ascii="宋体" w:hAnsi="宋体" w:cs="宋体"/>
          <w:color w:val="000000"/>
          <w:sz w:val="24"/>
        </w:rPr>
        <w:t>：</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被授权代理人：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日期：年  月  日</w:t>
      </w:r>
    </w:p>
    <w:p>
      <w:pPr>
        <w:widowControl/>
        <w:adjustRightInd w:val="0"/>
        <w:snapToGrid w:val="0"/>
        <w:spacing w:line="360" w:lineRule="auto"/>
        <w:ind w:firstLine="570"/>
        <w:rPr>
          <w:rFonts w:hint="eastAsia" w:ascii="宋体" w:hAnsi="宋体" w:cs="宋体"/>
          <w:color w:val="000000"/>
          <w:sz w:val="24"/>
        </w:rPr>
      </w:pPr>
    </w:p>
    <w:p>
      <w:pPr>
        <w:pStyle w:val="4"/>
        <w:rPr>
          <w:rFonts w:hint="eastAsia" w:ascii="宋体" w:hAnsi="宋体" w:eastAsia="宋体" w:cs="宋体"/>
          <w:szCs w:val="24"/>
        </w:rPr>
      </w:pPr>
      <w:r>
        <w:rPr>
          <w:rFonts w:hint="eastAsia" w:ascii="宋体" w:hAnsi="宋体" w:eastAsia="宋体" w:cs="宋体"/>
          <w:color w:val="000000"/>
          <w:szCs w:val="24"/>
        </w:rPr>
        <w:br w:type="page"/>
      </w:r>
      <w:bookmarkStart w:id="99" w:name="_Toc105496511"/>
      <w:bookmarkStart w:id="100" w:name="_Toc3553"/>
      <w:bookmarkStart w:id="101" w:name="_Toc511132663"/>
      <w:bookmarkStart w:id="102" w:name="_Toc68963488"/>
      <w:r>
        <w:rPr>
          <w:rFonts w:hint="eastAsia" w:ascii="宋体" w:hAnsi="宋体" w:eastAsia="宋体" w:cs="宋体"/>
          <w:szCs w:val="24"/>
        </w:rPr>
        <w:t>三、比选报价表</w:t>
      </w:r>
      <w:bookmarkEnd w:id="99"/>
      <w:bookmarkEnd w:id="100"/>
      <w:bookmarkEnd w:id="101"/>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项目编号：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snapToGrid w:val="0"/>
        <w:spacing w:line="360" w:lineRule="auto"/>
        <w:rPr>
          <w:rFonts w:hint="eastAsia" w:ascii="宋体" w:hAnsi="宋体" w:cs="宋体"/>
          <w:sz w:val="24"/>
        </w:rPr>
      </w:pPr>
      <w:r>
        <w:rPr>
          <w:rFonts w:hint="eastAsia" w:ascii="宋体" w:hAnsi="宋体" w:cs="宋体"/>
          <w:sz w:val="24"/>
        </w:rPr>
        <w:t>比选供应商名称：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2735"/>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noWrap w:val="0"/>
            <w:vAlign w:val="center"/>
          </w:tcPr>
          <w:p>
            <w:pPr>
              <w:jc w:val="center"/>
              <w:rPr>
                <w:rFonts w:hint="eastAsia" w:ascii="宋体" w:hAnsi="宋体" w:cs="宋体"/>
                <w:sz w:val="24"/>
              </w:rPr>
            </w:pPr>
            <w:r>
              <w:rPr>
                <w:rFonts w:hint="eastAsia" w:ascii="宋体" w:hAnsi="宋体" w:cs="宋体"/>
                <w:b/>
                <w:bCs/>
                <w:sz w:val="24"/>
              </w:rPr>
              <w:t>比选供应商名称</w:t>
            </w:r>
          </w:p>
        </w:tc>
        <w:tc>
          <w:tcPr>
            <w:tcW w:w="2735" w:type="dxa"/>
            <w:noWrap w:val="0"/>
            <w:vAlign w:val="center"/>
          </w:tcPr>
          <w:p>
            <w:pPr>
              <w:jc w:val="center"/>
              <w:rPr>
                <w:rFonts w:hint="eastAsia" w:ascii="宋体" w:hAnsi="宋体" w:cs="宋体"/>
                <w:sz w:val="24"/>
              </w:rPr>
            </w:pPr>
            <w:r>
              <w:rPr>
                <w:rFonts w:hint="eastAsia" w:ascii="宋体" w:hAnsi="宋体" w:cs="宋体"/>
                <w:b/>
                <w:sz w:val="24"/>
              </w:rPr>
              <w:t>比选报价（</w:t>
            </w:r>
            <w:r>
              <w:rPr>
                <w:rFonts w:hint="eastAsia" w:ascii="宋体" w:hAnsi="宋体" w:cs="宋体"/>
                <w:b/>
                <w:sz w:val="24"/>
                <w:lang w:val="en-US" w:eastAsia="zh-CN"/>
              </w:rPr>
              <w:t>含税，</w:t>
            </w:r>
            <w:r>
              <w:rPr>
                <w:rFonts w:hint="eastAsia" w:ascii="宋体" w:hAnsi="宋体" w:cs="宋体"/>
                <w:b/>
                <w:sz w:val="24"/>
              </w:rPr>
              <w:t>元）</w:t>
            </w:r>
          </w:p>
        </w:tc>
        <w:tc>
          <w:tcPr>
            <w:tcW w:w="2735" w:type="dxa"/>
            <w:noWrap w:val="0"/>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356" w:type="dxa"/>
            <w:noWrap w:val="0"/>
            <w:vAlign w:val="center"/>
          </w:tcPr>
          <w:p>
            <w:pPr>
              <w:jc w:val="center"/>
              <w:rPr>
                <w:rFonts w:hint="eastAsia" w:ascii="宋体" w:hAnsi="宋体" w:cs="宋体"/>
                <w:sz w:val="24"/>
              </w:rPr>
            </w:pPr>
          </w:p>
        </w:tc>
        <w:tc>
          <w:tcPr>
            <w:tcW w:w="2735" w:type="dxa"/>
            <w:noWrap w:val="0"/>
            <w:vAlign w:val="center"/>
          </w:tcPr>
          <w:p>
            <w:pPr>
              <w:tabs>
                <w:tab w:val="left" w:pos="5580"/>
              </w:tabs>
              <w:spacing w:line="360" w:lineRule="auto"/>
              <w:jc w:val="center"/>
              <w:rPr>
                <w:rFonts w:hint="eastAsia" w:ascii="宋体" w:hAnsi="宋体" w:cs="宋体"/>
                <w:sz w:val="24"/>
              </w:rPr>
            </w:pPr>
            <w:r>
              <w:rPr>
                <w:rFonts w:hint="eastAsia" w:ascii="宋体" w:hAnsi="宋体" w:cs="宋体"/>
                <w:sz w:val="24"/>
              </w:rPr>
              <w:t>（人民币元小写）</w:t>
            </w:r>
          </w:p>
          <w:p>
            <w:pPr>
              <w:jc w:val="center"/>
              <w:rPr>
                <w:rFonts w:hint="eastAsia" w:ascii="宋体" w:hAnsi="宋体" w:cs="宋体"/>
                <w:sz w:val="24"/>
              </w:rPr>
            </w:pPr>
          </w:p>
        </w:tc>
        <w:tc>
          <w:tcPr>
            <w:tcW w:w="2735" w:type="dxa"/>
            <w:noWrap w:val="0"/>
            <w:vAlign w:val="center"/>
          </w:tcPr>
          <w:p>
            <w:pPr>
              <w:jc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 xml:space="preserve">大写：    </w:t>
            </w:r>
            <w:r>
              <w:rPr>
                <w:rFonts w:hint="eastAsia" w:ascii="宋体" w:hAnsi="宋体" w:cs="宋体"/>
                <w:sz w:val="24"/>
                <w:lang w:eastAsia="zh-CN"/>
              </w:rPr>
              <w:t>）</w:t>
            </w:r>
          </w:p>
        </w:tc>
      </w:tr>
    </w:tbl>
    <w:p>
      <w:pPr>
        <w:snapToGrid w:val="0"/>
        <w:spacing w:line="360" w:lineRule="auto"/>
        <w:ind w:firstLine="420" w:firstLineChars="200"/>
        <w:rPr>
          <w:rFonts w:hint="eastAsia" w:ascii="宋体" w:hAnsi="宋体" w:cs="宋体"/>
          <w:color w:val="000000"/>
        </w:rPr>
      </w:pPr>
    </w:p>
    <w:p>
      <w:pPr>
        <w:snapToGrid w:val="0"/>
        <w:spacing w:line="360" w:lineRule="auto"/>
        <w:ind w:firstLine="420" w:firstLineChars="200"/>
        <w:rPr>
          <w:rFonts w:hint="eastAsia" w:ascii="宋体" w:hAnsi="宋体" w:cs="宋体"/>
          <w:color w:val="000000"/>
        </w:rPr>
      </w:pPr>
    </w:p>
    <w:p>
      <w:pPr>
        <w:pStyle w:val="4"/>
        <w:jc w:val="left"/>
        <w:rPr>
          <w:rFonts w:hint="eastAsia" w:ascii="宋体" w:hAnsi="宋体" w:eastAsia="宋体" w:cs="宋体"/>
          <w:color w:val="000000"/>
          <w:szCs w:val="24"/>
        </w:rPr>
      </w:pPr>
      <w:bookmarkStart w:id="103" w:name="_Toc7965"/>
      <w:bookmarkStart w:id="104" w:name="_Toc8058"/>
      <w:bookmarkStart w:id="105" w:name="_Toc105496512"/>
      <w:bookmarkStart w:id="106" w:name="_Toc511132664"/>
      <w:bookmarkStart w:id="107" w:name="_Toc19239"/>
      <w:r>
        <w:rPr>
          <w:rFonts w:hint="eastAsia" w:ascii="宋体" w:hAnsi="宋体" w:eastAsia="宋体" w:cs="宋体"/>
          <w:color w:val="000000"/>
          <w:szCs w:val="24"/>
        </w:rPr>
        <w:t>备注：</w:t>
      </w:r>
      <w:bookmarkEnd w:id="103"/>
      <w:bookmarkEnd w:id="104"/>
      <w:bookmarkEnd w:id="105"/>
      <w:bookmarkEnd w:id="106"/>
      <w:bookmarkEnd w:id="107"/>
    </w:p>
    <w:p>
      <w:pPr>
        <w:spacing w:line="360" w:lineRule="auto"/>
        <w:rPr>
          <w:rFonts w:hint="eastAsia" w:ascii="宋体" w:hAnsi="宋体" w:cs="宋体"/>
          <w:sz w:val="24"/>
        </w:rPr>
      </w:pPr>
      <w:r>
        <w:rPr>
          <w:rFonts w:hint="eastAsia" w:ascii="宋体" w:hAnsi="宋体" w:cs="宋体"/>
          <w:sz w:val="24"/>
        </w:rPr>
        <w:t>（1）报价汇总表后必须附报价明细表，报价明细表格式不限，各参选单位应根据自身情况及市场情况自行报价。</w:t>
      </w:r>
    </w:p>
    <w:p>
      <w:pPr>
        <w:spacing w:line="360" w:lineRule="auto"/>
        <w:rPr>
          <w:rFonts w:hint="eastAsia" w:ascii="宋体" w:hAnsi="宋体" w:cs="宋体"/>
          <w:sz w:val="24"/>
        </w:rPr>
      </w:pPr>
      <w:r>
        <w:rPr>
          <w:rFonts w:hint="eastAsia" w:ascii="宋体" w:hAnsi="宋体" w:cs="宋体"/>
          <w:sz w:val="24"/>
        </w:rPr>
        <w:t>（3）比选报价包括服务需求包括的全部费用</w:t>
      </w:r>
    </w:p>
    <w:p>
      <w:pPr>
        <w:snapToGrid w:val="0"/>
        <w:spacing w:line="360" w:lineRule="auto"/>
        <w:ind w:firstLine="420" w:firstLineChars="200"/>
        <w:rPr>
          <w:rFonts w:hint="eastAsia" w:ascii="宋体" w:hAnsi="宋体" w:cs="宋体"/>
          <w:color w:val="000000"/>
        </w:rPr>
      </w:pP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szCs w:val="24"/>
        </w:rPr>
      </w:pPr>
      <w:bookmarkStart w:id="108" w:name="_Toc105496513"/>
      <w:bookmarkStart w:id="109" w:name="_Toc511132665"/>
      <w:r>
        <w:rPr>
          <w:rFonts w:ascii="宋体" w:hAnsi="宋体" w:eastAsia="宋体" w:cs="宋体"/>
          <w:szCs w:val="24"/>
        </w:rPr>
        <w:br w:type="page"/>
      </w:r>
      <w:r>
        <w:rPr>
          <w:rFonts w:hint="eastAsia" w:ascii="宋体" w:hAnsi="宋体" w:eastAsia="宋体" w:cs="宋体"/>
          <w:szCs w:val="24"/>
        </w:rPr>
        <w:t>四、比选报价明细表</w:t>
      </w:r>
      <w:bookmarkEnd w:id="108"/>
      <w:bookmarkEnd w:id="109"/>
    </w:p>
    <w:p>
      <w:pPr>
        <w:pStyle w:val="2"/>
        <w:spacing w:line="360" w:lineRule="auto"/>
        <w:rPr>
          <w:rFonts w:hint="eastAsia" w:hAnsi="宋体" w:cs="宋体"/>
          <w:b/>
          <w:bCs/>
          <w:sz w:val="24"/>
          <w:szCs w:val="24"/>
        </w:rPr>
      </w:pPr>
    </w:p>
    <w:p>
      <w:pPr>
        <w:snapToGrid w:val="0"/>
        <w:spacing w:line="360" w:lineRule="auto"/>
        <w:ind w:firstLine="481" w:firstLineChars="200"/>
        <w:rPr>
          <w:rFonts w:hint="eastAsia" w:hAnsi="宋体" w:cs="宋体"/>
          <w:b/>
          <w:bCs/>
          <w:sz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r>
        <w:rPr>
          <w:rFonts w:hint="eastAsia" w:hAnsi="宋体" w:cs="宋体"/>
          <w:b/>
          <w:bCs/>
          <w:sz w:val="24"/>
          <w:szCs w:val="24"/>
        </w:rPr>
        <w:t>表格比选供应商自拟</w:t>
      </w: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tabs>
          <w:tab w:val="left" w:pos="1800"/>
          <w:tab w:val="left" w:pos="5580"/>
        </w:tabs>
        <w:spacing w:line="360" w:lineRule="auto"/>
        <w:jc w:val="left"/>
        <w:rPr>
          <w:rFonts w:hint="eastAsia" w:ascii="宋体" w:hAnsi="宋体" w:cs="宋体"/>
          <w:sz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r>
        <w:rPr>
          <w:rFonts w:hint="eastAsia" w:hAnsi="宋体" w:cs="宋体"/>
          <w:color w:val="000000"/>
          <w:sz w:val="24"/>
        </w:rPr>
        <w:t>比选供应商：</w:t>
      </w:r>
      <w:r>
        <w:rPr>
          <w:rFonts w:hint="eastAsia"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110" w:name="_Toc511132666"/>
      <w:bookmarkStart w:id="111" w:name="_Toc105496514"/>
      <w:r>
        <w:rPr>
          <w:rFonts w:ascii="宋体" w:hAnsi="宋体" w:eastAsia="宋体" w:cs="宋体"/>
          <w:color w:val="000000"/>
          <w:szCs w:val="24"/>
        </w:rPr>
        <w:br w:type="page"/>
      </w:r>
      <w:r>
        <w:rPr>
          <w:rFonts w:hint="eastAsia" w:ascii="宋体" w:hAnsi="宋体" w:eastAsia="宋体" w:cs="宋体"/>
          <w:color w:val="000000"/>
          <w:szCs w:val="24"/>
        </w:rPr>
        <w:t>五、比选供应商基本情况表</w:t>
      </w:r>
      <w:bookmarkEnd w:id="102"/>
      <w:bookmarkEnd w:id="110"/>
      <w:bookmarkEnd w:id="111"/>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单位名称</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注册资本金</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地址、邮编、电话</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主要业务范围</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单位性质</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成立时间</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pStyle w:val="4"/>
        <w:rPr>
          <w:rFonts w:hint="eastAsia" w:ascii="宋体" w:hAnsi="宋体" w:eastAsia="宋体" w:cs="宋体"/>
          <w:color w:val="000000"/>
          <w:szCs w:val="24"/>
        </w:rPr>
      </w:pPr>
      <w:r>
        <w:rPr>
          <w:rFonts w:hint="eastAsia" w:ascii="宋体" w:hAnsi="宋体" w:eastAsia="宋体" w:cs="宋体"/>
          <w:color w:val="000000"/>
          <w:szCs w:val="24"/>
        </w:rPr>
        <w:br w:type="page"/>
      </w:r>
      <w:bookmarkStart w:id="112" w:name="_Toc105496515"/>
      <w:bookmarkStart w:id="113" w:name="_Toc68963489"/>
      <w:bookmarkStart w:id="114" w:name="_Toc511132667"/>
      <w:r>
        <w:rPr>
          <w:rFonts w:hint="eastAsia" w:ascii="宋体" w:hAnsi="宋体" w:eastAsia="宋体" w:cs="宋体"/>
          <w:color w:val="000000"/>
          <w:szCs w:val="24"/>
        </w:rPr>
        <w:t>六、服务项目人员构成</w:t>
      </w:r>
      <w:bookmarkEnd w:id="112"/>
      <w:bookmarkEnd w:id="113"/>
      <w:bookmarkEnd w:id="114"/>
    </w:p>
    <w:p>
      <w:pPr>
        <w:adjustRightInd w:val="0"/>
        <w:snapToGrid w:val="0"/>
        <w:spacing w:line="360" w:lineRule="auto"/>
        <w:rPr>
          <w:rFonts w:hint="eastAsia" w:ascii="宋体" w:hAnsi="宋体" w:cs="宋体"/>
          <w:color w:val="000000"/>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936"/>
        <w:gridCol w:w="936"/>
        <w:gridCol w:w="1873"/>
        <w:gridCol w:w="1069"/>
        <w:gridCol w:w="120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528" w:type="dxa"/>
            <w:gridSpan w:val="7"/>
            <w:noWrap w:val="0"/>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项目总负责人、副总负责人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noWrap w:val="0"/>
            <w:vAlign w:val="top"/>
          </w:tcPr>
          <w:p>
            <w:pPr>
              <w:pStyle w:val="17"/>
              <w:tabs>
                <w:tab w:val="left" w:pos="6300"/>
              </w:tabs>
              <w:snapToGrid w:val="0"/>
              <w:spacing w:line="360" w:lineRule="auto"/>
              <w:ind w:firstLine="0"/>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p>
            <w:pPr>
              <w:pStyle w:val="17"/>
              <w:tabs>
                <w:tab w:val="left" w:pos="6300"/>
              </w:tabs>
              <w:snapToGrid w:val="0"/>
              <w:spacing w:line="360" w:lineRule="auto"/>
              <w:ind w:firstLine="0"/>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8528" w:type="dxa"/>
            <w:gridSpan w:val="7"/>
            <w:noWrap w:val="0"/>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计划用于本项目的主要管理人员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bl>
    <w:p>
      <w:pPr>
        <w:pStyle w:val="2"/>
        <w:adjustRightInd w:val="0"/>
        <w:snapToGrid w:val="0"/>
        <w:spacing w:line="360" w:lineRule="auto"/>
        <w:rPr>
          <w:rFonts w:hint="eastAsia" w:hAnsi="宋体" w:cs="宋体"/>
          <w:b/>
          <w:color w:val="000000"/>
          <w:sz w:val="24"/>
          <w:szCs w:val="24"/>
        </w:rPr>
      </w:pPr>
    </w:p>
    <w:p>
      <w:pPr>
        <w:adjustRightInd w:val="0"/>
        <w:snapToGrid w:val="0"/>
        <w:spacing w:line="360" w:lineRule="auto"/>
        <w:jc w:val="center"/>
        <w:rPr>
          <w:rFonts w:hint="eastAsia" w:ascii="宋体" w:hAnsi="宋体" w:cs="宋体"/>
          <w:b/>
          <w:color w:val="000000"/>
          <w:spacing w:val="4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b/>
          <w:color w:val="000000"/>
          <w:spacing w:val="40"/>
          <w:sz w:val="24"/>
        </w:rPr>
      </w:pPr>
      <w:bookmarkStart w:id="115" w:name="_Toc330205884"/>
    </w:p>
    <w:p>
      <w:pPr>
        <w:adjustRightInd w:val="0"/>
        <w:snapToGrid w:val="0"/>
        <w:spacing w:line="360" w:lineRule="auto"/>
        <w:rPr>
          <w:rFonts w:ascii="宋体" w:hAnsi="宋体" w:cs="宋体"/>
          <w:b/>
          <w:color w:val="000000"/>
          <w:spacing w:val="40"/>
          <w:sz w:val="24"/>
        </w:rPr>
      </w:pPr>
    </w:p>
    <w:p>
      <w:pPr>
        <w:adjustRightInd w:val="0"/>
        <w:snapToGrid w:val="0"/>
        <w:spacing w:line="360" w:lineRule="auto"/>
        <w:rPr>
          <w:rFonts w:hint="eastAsia" w:ascii="宋体" w:hAnsi="宋体" w:cs="宋体"/>
          <w:b/>
          <w:color w:val="000000"/>
          <w:spacing w:val="40"/>
          <w:sz w:val="24"/>
        </w:rPr>
      </w:pPr>
    </w:p>
    <w:p>
      <w:pPr>
        <w:pStyle w:val="4"/>
        <w:numPr>
          <w:ilvl w:val="0"/>
          <w:numId w:val="2"/>
        </w:numPr>
        <w:rPr>
          <w:rFonts w:hint="eastAsia" w:ascii="宋体" w:hAnsi="宋体" w:eastAsia="宋体" w:cs="宋体"/>
          <w:color w:val="000000"/>
          <w:szCs w:val="24"/>
        </w:rPr>
      </w:pPr>
      <w:bookmarkStart w:id="116" w:name="_Toc511132668"/>
      <w:bookmarkStart w:id="117" w:name="_Toc105496516"/>
      <w:bookmarkStart w:id="118" w:name="_Toc68963490"/>
      <w:r>
        <w:rPr>
          <w:rFonts w:ascii="宋体" w:hAnsi="宋体" w:eastAsia="宋体" w:cs="宋体"/>
          <w:color w:val="000000"/>
          <w:szCs w:val="24"/>
        </w:rPr>
        <w:br w:type="page"/>
      </w:r>
      <w:r>
        <w:rPr>
          <w:rFonts w:hint="eastAsia" w:ascii="宋体" w:hAnsi="宋体" w:eastAsia="宋体" w:cs="宋体"/>
          <w:color w:val="000000"/>
          <w:szCs w:val="24"/>
        </w:rPr>
        <w:t>拟派负责人简历表</w:t>
      </w:r>
      <w:bookmarkEnd w:id="115"/>
      <w:bookmarkEnd w:id="116"/>
      <w:bookmarkEnd w:id="117"/>
      <w:bookmarkEnd w:id="118"/>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230"/>
        <w:gridCol w:w="900"/>
        <w:gridCol w:w="1800"/>
        <w:gridCol w:w="171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姓  名</w:t>
            </w:r>
          </w:p>
        </w:tc>
        <w:tc>
          <w:tcPr>
            <w:tcW w:w="1230" w:type="dxa"/>
            <w:noWrap w:val="0"/>
            <w:vAlign w:val="center"/>
          </w:tcPr>
          <w:p>
            <w:pPr>
              <w:adjustRightInd w:val="0"/>
              <w:snapToGrid w:val="0"/>
              <w:spacing w:line="360" w:lineRule="auto"/>
              <w:jc w:val="center"/>
              <w:rPr>
                <w:rFonts w:hint="eastAsia" w:ascii="宋体" w:hAnsi="宋体" w:cs="宋体"/>
                <w:color w:val="000000"/>
                <w:sz w:val="24"/>
              </w:rPr>
            </w:pPr>
          </w:p>
        </w:tc>
        <w:tc>
          <w:tcPr>
            <w:tcW w:w="900"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年龄</w:t>
            </w:r>
          </w:p>
        </w:tc>
        <w:tc>
          <w:tcPr>
            <w:tcW w:w="1800" w:type="dxa"/>
            <w:noWrap w:val="0"/>
            <w:vAlign w:val="center"/>
          </w:tcPr>
          <w:p>
            <w:pPr>
              <w:adjustRightInd w:val="0"/>
              <w:snapToGrid w:val="0"/>
              <w:spacing w:line="360" w:lineRule="auto"/>
              <w:jc w:val="center"/>
              <w:rPr>
                <w:rFonts w:hint="eastAsia" w:ascii="宋体" w:hAnsi="宋体" w:cs="宋体"/>
                <w:color w:val="000000"/>
                <w:sz w:val="24"/>
              </w:rPr>
            </w:pPr>
          </w:p>
        </w:tc>
        <w:tc>
          <w:tcPr>
            <w:tcW w:w="1711"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专业</w:t>
            </w:r>
          </w:p>
        </w:tc>
        <w:tc>
          <w:tcPr>
            <w:tcW w:w="1173"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   称</w:t>
            </w:r>
          </w:p>
        </w:tc>
        <w:tc>
          <w:tcPr>
            <w:tcW w:w="1230"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900"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职务</w:t>
            </w:r>
          </w:p>
        </w:tc>
        <w:tc>
          <w:tcPr>
            <w:tcW w:w="1800"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学历</w:t>
            </w:r>
          </w:p>
        </w:tc>
        <w:tc>
          <w:tcPr>
            <w:tcW w:w="1173"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执业资格</w:t>
            </w:r>
          </w:p>
        </w:tc>
        <w:tc>
          <w:tcPr>
            <w:tcW w:w="6814" w:type="dxa"/>
            <w:gridSpan w:val="5"/>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毕业学校</w:t>
            </w:r>
          </w:p>
        </w:tc>
        <w:tc>
          <w:tcPr>
            <w:tcW w:w="3930" w:type="dxa"/>
            <w:gridSpan w:val="3"/>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毕业时间</w:t>
            </w:r>
          </w:p>
        </w:tc>
        <w:tc>
          <w:tcPr>
            <w:tcW w:w="1173"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本项目中担任工作</w:t>
            </w:r>
          </w:p>
        </w:tc>
        <w:tc>
          <w:tcPr>
            <w:tcW w:w="6814" w:type="dxa"/>
            <w:gridSpan w:val="5"/>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39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Borders>
              <w:top w:val="single" w:color="auto" w:sz="4" w:space="0"/>
            </w:tcBorders>
            <w:noWrap w:val="0"/>
            <w:vAlign w:val="center"/>
          </w:tcPr>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自  年  月至   年  月</w:t>
            </w:r>
          </w:p>
        </w:tc>
        <w:tc>
          <w:tcPr>
            <w:tcW w:w="3930" w:type="dxa"/>
            <w:gridSpan w:val="3"/>
            <w:tcBorders>
              <w:top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工作经历</w:t>
            </w:r>
          </w:p>
        </w:tc>
        <w:tc>
          <w:tcPr>
            <w:tcW w:w="1711" w:type="dxa"/>
            <w:tcBorders>
              <w:top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担任何职</w:t>
            </w:r>
          </w:p>
        </w:tc>
        <w:tc>
          <w:tcPr>
            <w:tcW w:w="1173" w:type="dxa"/>
            <w:tcBorders>
              <w:top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1578" w:type="dxa"/>
            <w:noWrap w:val="0"/>
            <w:vAlign w:val="center"/>
          </w:tcPr>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tc>
        <w:tc>
          <w:tcPr>
            <w:tcW w:w="3930" w:type="dxa"/>
            <w:gridSpan w:val="3"/>
            <w:noWrap w:val="0"/>
            <w:vAlign w:val="center"/>
          </w:tcPr>
          <w:p>
            <w:pPr>
              <w:adjustRightInd w:val="0"/>
              <w:snapToGrid w:val="0"/>
              <w:spacing w:line="360" w:lineRule="auto"/>
              <w:jc w:val="center"/>
              <w:rPr>
                <w:rFonts w:hint="eastAsia" w:ascii="宋体" w:hAnsi="宋体" w:cs="宋体"/>
                <w:color w:val="000000"/>
                <w:sz w:val="24"/>
              </w:rPr>
            </w:pPr>
          </w:p>
        </w:tc>
        <w:tc>
          <w:tcPr>
            <w:tcW w:w="1711" w:type="dxa"/>
            <w:noWrap w:val="0"/>
            <w:vAlign w:val="center"/>
          </w:tcPr>
          <w:p>
            <w:pPr>
              <w:adjustRightInd w:val="0"/>
              <w:snapToGrid w:val="0"/>
              <w:spacing w:line="360" w:lineRule="auto"/>
              <w:jc w:val="center"/>
              <w:rPr>
                <w:rFonts w:hint="eastAsia" w:ascii="宋体" w:hAnsi="宋体" w:cs="宋体"/>
                <w:color w:val="000000"/>
                <w:sz w:val="24"/>
              </w:rPr>
            </w:pPr>
          </w:p>
        </w:tc>
        <w:tc>
          <w:tcPr>
            <w:tcW w:w="1173" w:type="dxa"/>
            <w:noWrap w:val="0"/>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实际负责该服务项目的管理方面负责人（需填写此表，每人填一张并附相应证明材料（包括身份证、学历证书、从业资格证书、职称证书、工作业绩方面证明等资料的复印件，并加盖法人公章）；</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119" w:name="_Toc511132669"/>
      <w:bookmarkStart w:id="120" w:name="_Toc105496517"/>
      <w:r>
        <w:rPr>
          <w:rFonts w:ascii="宋体" w:hAnsi="宋体" w:eastAsia="宋体" w:cs="宋体"/>
          <w:color w:val="000000"/>
          <w:szCs w:val="24"/>
        </w:rPr>
        <w:br w:type="page"/>
      </w:r>
      <w:r>
        <w:rPr>
          <w:rFonts w:hint="eastAsia" w:ascii="宋体" w:hAnsi="宋体" w:eastAsia="宋体" w:cs="宋体"/>
          <w:color w:val="000000"/>
          <w:szCs w:val="24"/>
        </w:rPr>
        <w:t>八、针对该项目派遣的服务人员情况汇总表</w:t>
      </w:r>
      <w:bookmarkEnd w:id="119"/>
      <w:bookmarkEnd w:id="120"/>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43"/>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工作年限</w:t>
            </w: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根据对该项目派遣的所有人员的实际情况填写该表，并附相关证明材料（包括身份证等资料的复印件并加盖法人公章）；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jc w:val="center"/>
        <w:rPr>
          <w:rFonts w:hint="eastAsia" w:ascii="宋体" w:hAnsi="宋体" w:cs="宋体"/>
          <w:color w:val="000000"/>
          <w:sz w:val="24"/>
        </w:rPr>
      </w:pPr>
    </w:p>
    <w:p>
      <w:pPr>
        <w:pStyle w:val="4"/>
        <w:spacing w:line="360" w:lineRule="auto"/>
        <w:rPr>
          <w:rFonts w:hint="eastAsia" w:ascii="宋体" w:hAnsi="宋体" w:eastAsia="宋体" w:cs="宋体"/>
          <w:b w:val="0"/>
          <w:bCs w:val="0"/>
          <w:color w:val="000000"/>
          <w:szCs w:val="24"/>
        </w:rPr>
        <w:sectPr>
          <w:type w:val="continuous"/>
          <w:pgSz w:w="11906" w:h="16838"/>
          <w:pgMar w:top="1440" w:right="1800" w:bottom="1440" w:left="1800" w:header="851" w:footer="992" w:gutter="0"/>
          <w:cols w:space="720" w:num="1"/>
          <w:docGrid w:type="lines" w:linePitch="312" w:charSpace="0"/>
        </w:sectPr>
      </w:pPr>
    </w:p>
    <w:p>
      <w:pPr>
        <w:snapToGrid w:val="0"/>
        <w:spacing w:line="360" w:lineRule="auto"/>
        <w:ind w:firstLine="420" w:firstLineChars="200"/>
        <w:rPr>
          <w:rFonts w:hint="eastAsia" w:ascii="宋体" w:hAnsi="宋体" w:cs="宋体"/>
          <w:color w:val="000000"/>
        </w:rPr>
      </w:pPr>
      <w:bookmarkStart w:id="121" w:name="_Toc68963491"/>
      <w:bookmarkStart w:id="122" w:name="_Toc511132670"/>
    </w:p>
    <w:p>
      <w:pPr>
        <w:pStyle w:val="4"/>
        <w:rPr>
          <w:rFonts w:hint="eastAsia" w:ascii="宋体" w:hAnsi="宋体" w:eastAsia="宋体" w:cs="宋体"/>
          <w:color w:val="000000"/>
          <w:szCs w:val="24"/>
        </w:rPr>
      </w:pPr>
      <w:bookmarkStart w:id="123" w:name="_Toc105496518"/>
      <w:r>
        <w:rPr>
          <w:rFonts w:hint="eastAsia" w:ascii="宋体" w:hAnsi="宋体" w:eastAsia="宋体" w:cs="宋体"/>
          <w:color w:val="000000"/>
          <w:szCs w:val="24"/>
        </w:rPr>
        <w:t>九、服务业绩表</w:t>
      </w:r>
      <w:bookmarkEnd w:id="121"/>
      <w:bookmarkEnd w:id="122"/>
      <w:bookmarkEnd w:id="123"/>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013"/>
        <w:gridCol w:w="2126"/>
        <w:gridCol w:w="1985"/>
        <w:gridCol w:w="2410"/>
        <w:gridCol w:w="2410"/>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服务范围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服务期限</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合同金额</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投入人数</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说明：1、比选供应商必须提供能够证明上述业绩真实性的合同全文复印件；</w:t>
      </w:r>
    </w:p>
    <w:p>
      <w:pPr>
        <w:adjustRightInd w:val="0"/>
        <w:snapToGrid w:val="0"/>
        <w:spacing w:line="360" w:lineRule="auto"/>
        <w:ind w:firstLine="705" w:firstLineChars="294"/>
        <w:jc w:val="left"/>
        <w:rPr>
          <w:rFonts w:hint="eastAsia" w:ascii="宋体" w:hAnsi="宋体" w:cs="宋体"/>
          <w:color w:val="000000"/>
          <w:sz w:val="24"/>
        </w:rPr>
      </w:pPr>
      <w:r>
        <w:rPr>
          <w:rFonts w:hint="eastAsia" w:ascii="宋体" w:hAnsi="宋体" w:cs="宋体"/>
          <w:color w:val="000000"/>
          <w:sz w:val="24"/>
        </w:rPr>
        <w:t>2、所有合同复印件应清晰，并加盖比选供应商法人公章；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sectPr>
          <w:type w:val="continuous"/>
          <w:pgSz w:w="16838" w:h="11906" w:orient="landscape"/>
          <w:pgMar w:top="1440" w:right="1800" w:bottom="1440" w:left="1800" w:header="851" w:footer="992" w:gutter="0"/>
          <w:cols w:space="720" w:num="1"/>
          <w:docGrid w:type="lines" w:linePitch="312" w:charSpace="0"/>
        </w:sectPr>
      </w:pPr>
    </w:p>
    <w:p>
      <w:pPr>
        <w:snapToGrid w:val="0"/>
        <w:spacing w:line="360" w:lineRule="auto"/>
        <w:ind w:firstLine="420" w:firstLineChars="200"/>
        <w:rPr>
          <w:rFonts w:hint="eastAsia" w:ascii="宋体" w:hAnsi="宋体" w:cs="宋体"/>
          <w:bCs/>
          <w:color w:val="000000"/>
        </w:rPr>
      </w:pPr>
      <w:bookmarkStart w:id="124" w:name="_Toc511132671"/>
      <w:bookmarkStart w:id="125" w:name="_Toc68963492"/>
    </w:p>
    <w:p>
      <w:pPr>
        <w:pStyle w:val="4"/>
        <w:rPr>
          <w:rFonts w:hint="eastAsia" w:ascii="宋体" w:hAnsi="宋体" w:eastAsia="宋体" w:cs="宋体"/>
          <w:color w:val="000000"/>
          <w:szCs w:val="24"/>
        </w:rPr>
      </w:pPr>
      <w:bookmarkStart w:id="126" w:name="_Toc105496519"/>
      <w:r>
        <w:rPr>
          <w:rFonts w:hint="eastAsia" w:ascii="宋体" w:hAnsi="宋体" w:eastAsia="宋体" w:cs="宋体"/>
          <w:bCs w:val="0"/>
          <w:color w:val="000000"/>
          <w:szCs w:val="24"/>
        </w:rPr>
        <w:t>十、</w:t>
      </w:r>
      <w:r>
        <w:rPr>
          <w:rFonts w:hint="eastAsia" w:ascii="宋体" w:hAnsi="宋体" w:eastAsia="宋体" w:cs="宋体"/>
          <w:color w:val="000000"/>
          <w:szCs w:val="24"/>
        </w:rPr>
        <w:t>资格证明文件</w:t>
      </w:r>
      <w:bookmarkEnd w:id="124"/>
      <w:bookmarkEnd w:id="126"/>
    </w:p>
    <w:p>
      <w:pPr>
        <w:rPr>
          <w:rFonts w:hint="eastAsia"/>
        </w:rPr>
      </w:pP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(1)法人营业执照副本</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(2)税务登记证书副本（三证合一不提供）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(3)组织机构代码证副本（三证合一不提供）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(4)法定代表人授权书（格式）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(5)法人授权代表身份证复印件</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(6)比选供应商的资格声明（格式）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pStyle w:val="2"/>
        <w:tabs>
          <w:tab w:val="left" w:pos="5580"/>
        </w:tabs>
        <w:adjustRightInd w:val="0"/>
        <w:snapToGrid w:val="0"/>
        <w:spacing w:line="360" w:lineRule="auto"/>
        <w:rPr>
          <w:rFonts w:hint="eastAsia" w:hAnsi="宋体" w:cs="宋体"/>
          <w:color w:val="000000"/>
          <w:sz w:val="24"/>
          <w:szCs w:val="24"/>
        </w:rPr>
      </w:pPr>
      <w:r>
        <w:rPr>
          <w:rFonts w:hint="eastAsia" w:hAnsi="宋体" w:cs="宋体"/>
          <w:color w:val="000000"/>
          <w:sz w:val="24"/>
          <w:szCs w:val="24"/>
        </w:rPr>
        <w:t>(8）比选文件要求的其他资格证明文件。</w:t>
      </w:r>
    </w:p>
    <w:p>
      <w:pPr>
        <w:tabs>
          <w:tab w:val="left" w:pos="540"/>
          <w:tab w:val="left" w:pos="644"/>
          <w:tab w:val="left" w:pos="1080"/>
        </w:tabs>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说明：以上除注明须提供原件的文件以外，均需提供清晰复印件并加盖法人公章，比选供应商必须保证其真实有效，如有伪造或不实，将导致其比选响应文件被拒绝。如三证合一企业只需要提供营业执照。</w:t>
      </w:r>
    </w:p>
    <w:p>
      <w:pPr>
        <w:adjustRightInd w:val="0"/>
        <w:snapToGrid w:val="0"/>
        <w:spacing w:line="360" w:lineRule="auto"/>
        <w:rPr>
          <w:rFonts w:hint="eastAsia" w:ascii="宋体" w:hAnsi="宋体" w:cs="宋体"/>
          <w:b/>
          <w:color w:val="000000"/>
          <w:sz w:val="24"/>
        </w:rPr>
      </w:pPr>
    </w:p>
    <w:p>
      <w:pPr>
        <w:adjustRightInd w:val="0"/>
        <w:snapToGrid w:val="0"/>
        <w:spacing w:line="360" w:lineRule="auto"/>
        <w:jc w:val="left"/>
        <w:rPr>
          <w:rFonts w:hint="eastAsia"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hint="eastAsia" w:ascii="宋体" w:hAns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附件1</w:t>
      </w:r>
    </w:p>
    <w:p>
      <w:pPr>
        <w:adjustRightInd w:val="0"/>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近三年内在本行业内从事相关工作未受到政府部门给予不良记录和行政处罚的声明（格式）</w:t>
      </w: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b/>
          <w:color w:val="000000"/>
          <w:sz w:val="24"/>
        </w:rPr>
      </w:pPr>
      <w:r>
        <w:rPr>
          <w:rFonts w:hint="eastAsia" w:ascii="宋体" w:hAnsi="宋体" w:cs="宋体"/>
          <w:b/>
          <w:color w:val="000000"/>
          <w:sz w:val="24"/>
        </w:rPr>
        <w:t>声 明 函</w:t>
      </w: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我公司郑重承诺在参加本项目政府采购活动前三年内，在经营活动中无重大违法记录。公司未处于被责令停业，财产被接管、冻结、破产状况。</w:t>
      </w: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tabs>
          <w:tab w:val="left" w:pos="5580"/>
        </w:tabs>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日期：_____年______月______日</w:t>
      </w: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pStyle w:val="4"/>
        <w:rPr>
          <w:rFonts w:hint="eastAsia" w:ascii="宋体" w:hAnsi="宋体" w:eastAsia="宋体" w:cs="宋体"/>
          <w:color w:val="000000"/>
          <w:szCs w:val="24"/>
        </w:rPr>
      </w:pPr>
      <w:bookmarkStart w:id="127" w:name="_Toc105496520"/>
      <w:bookmarkStart w:id="128" w:name="_Toc511132672"/>
      <w:r>
        <w:rPr>
          <w:rFonts w:hint="eastAsia" w:ascii="宋体" w:hAnsi="宋体" w:eastAsia="宋体" w:cs="宋体"/>
          <w:color w:val="000000"/>
          <w:szCs w:val="24"/>
        </w:rPr>
        <w:t>十一、服务方案</w:t>
      </w:r>
      <w:bookmarkEnd w:id="127"/>
      <w:bookmarkEnd w:id="128"/>
    </w:p>
    <w:p>
      <w:pPr>
        <w:adjustRightInd w:val="0"/>
        <w:snapToGrid w:val="0"/>
        <w:spacing w:line="360" w:lineRule="auto"/>
        <w:jc w:val="left"/>
        <w:rPr>
          <w:rFonts w:hint="eastAsia" w:ascii="宋体" w:hAnsi="宋体" w:cs="宋体"/>
          <w:color w:val="000000"/>
          <w:sz w:val="24"/>
        </w:rPr>
      </w:pP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比选供应商应针对本项目编制并提交技术服务方案，包括但不限于以下内容：</w:t>
      </w: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 1）服务方案，包括项目实施方案、项目执行思路、重难点分析等；</w:t>
      </w:r>
    </w:p>
    <w:p>
      <w:pPr>
        <w:adjustRightInd w:val="0"/>
        <w:snapToGrid w:val="0"/>
        <w:spacing w:line="360" w:lineRule="auto"/>
        <w:ind w:firstLine="120" w:firstLineChars="50"/>
        <w:jc w:val="left"/>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）服务承诺及质量保障措施。</w:t>
      </w: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sectPr>
          <w:type w:val="continuous"/>
          <w:pgSz w:w="11906" w:h="16838"/>
          <w:pgMar w:top="1440" w:right="1800" w:bottom="1440" w:left="1800" w:header="851" w:footer="992" w:gutter="0"/>
          <w:cols w:space="720" w:num="1"/>
          <w:docGrid w:type="lines" w:linePitch="312" w:charSpace="0"/>
        </w:sectPr>
      </w:pPr>
    </w:p>
    <w:bookmarkEnd w:id="125"/>
    <w:p>
      <w:pPr>
        <w:pStyle w:val="3"/>
        <w:rPr>
          <w:rFonts w:hint="eastAsia" w:ascii="宋体" w:hAnsi="宋体" w:eastAsia="宋体" w:cs="宋体"/>
          <w:color w:val="000000"/>
          <w:sz w:val="24"/>
          <w:szCs w:val="24"/>
        </w:rPr>
      </w:pPr>
      <w:bookmarkStart w:id="129" w:name="_Toc511132673"/>
      <w:bookmarkStart w:id="130" w:name="_Toc330205892"/>
      <w:bookmarkStart w:id="131" w:name="_Toc105496521"/>
      <w:r>
        <w:rPr>
          <w:rFonts w:ascii="宋体" w:hAnsi="宋体" w:eastAsia="宋体" w:cs="宋体"/>
          <w:color w:val="000000"/>
          <w:sz w:val="24"/>
          <w:szCs w:val="24"/>
        </w:rPr>
        <w:br w:type="page"/>
      </w:r>
      <w:r>
        <w:rPr>
          <w:rFonts w:hint="eastAsia" w:ascii="宋体" w:hAnsi="宋体" w:eastAsia="宋体" w:cs="宋体"/>
          <w:color w:val="000000"/>
          <w:sz w:val="24"/>
          <w:szCs w:val="24"/>
        </w:rPr>
        <w:t>第六章  评审办法</w:t>
      </w:r>
      <w:bookmarkEnd w:id="129"/>
      <w:bookmarkEnd w:id="130"/>
      <w:bookmarkEnd w:id="131"/>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一、评审原则与标准</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评审原则是指评审委员会成员在评审活动中应遵循的原则，即“公平、公正、科学、择优”的原则和评审保密原则。</w:t>
      </w:r>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二、评审方法</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本次评审采用综合评分法，即以有关法律法规、比选文件为依据，对比选供应商的商务、技术及比选报价等方面进行综合评估并按得分由高至低进行排序及推荐。</w:t>
      </w:r>
      <w:r>
        <w:rPr>
          <w:rFonts w:hint="eastAsia" w:ascii="宋体" w:hAnsi="宋体"/>
          <w:sz w:val="24"/>
        </w:rPr>
        <w:t>每个评委独立评分，评委评分可保留2位小数。评委评分的算术平均值为每个投标人的最终得分，最终得分保留2位小数。</w:t>
      </w:r>
      <w:r>
        <w:rPr>
          <w:rFonts w:ascii="宋体" w:hAnsi="宋体" w:cs="宋体"/>
          <w:color w:val="000000"/>
          <w:sz w:val="24"/>
        </w:rPr>
        <w:t>得分相同的，按投标报价由低到高顺序排列。得分且投标报价相同的并列。比选响应文件满足比选文件全部实质性要求，且按照评审因素的量化指标评审得分最高的比选供应商为排名第一的中标候选人。</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三、评分标准</w:t>
      </w:r>
    </w:p>
    <w:tbl>
      <w:tblPr>
        <w:tblStyle w:val="33"/>
        <w:tblW w:w="9209" w:type="dxa"/>
        <w:jc w:val="center"/>
        <w:tblLayout w:type="fixed"/>
        <w:tblCellMar>
          <w:top w:w="0" w:type="dxa"/>
          <w:left w:w="108" w:type="dxa"/>
          <w:bottom w:w="0" w:type="dxa"/>
          <w:right w:w="108" w:type="dxa"/>
        </w:tblCellMar>
      </w:tblPr>
      <w:tblGrid>
        <w:gridCol w:w="704"/>
        <w:gridCol w:w="991"/>
        <w:gridCol w:w="988"/>
        <w:gridCol w:w="998"/>
        <w:gridCol w:w="4536"/>
        <w:gridCol w:w="992"/>
      </w:tblGrid>
      <w:tr>
        <w:tblPrEx>
          <w:tblCellMar>
            <w:top w:w="0" w:type="dxa"/>
            <w:left w:w="108" w:type="dxa"/>
            <w:bottom w:w="0" w:type="dxa"/>
            <w:right w:w="108" w:type="dxa"/>
          </w:tblCellMar>
        </w:tblPrEx>
        <w:trPr>
          <w:trHeight w:val="33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9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评审内容</w:t>
            </w:r>
          </w:p>
        </w:tc>
        <w:tc>
          <w:tcPr>
            <w:tcW w:w="9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标准分</w:t>
            </w:r>
          </w:p>
        </w:tc>
        <w:tc>
          <w:tcPr>
            <w:tcW w:w="5534" w:type="dxa"/>
            <w:gridSpan w:val="2"/>
            <w:tcBorders>
              <w:top w:val="single" w:color="auto" w:sz="4" w:space="0"/>
              <w:left w:val="nil"/>
              <w:bottom w:val="nil"/>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评分标准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r>
      <w:tr>
        <w:tblPrEx>
          <w:tblCellMar>
            <w:top w:w="0" w:type="dxa"/>
            <w:left w:w="108" w:type="dxa"/>
            <w:bottom w:w="0" w:type="dxa"/>
            <w:right w:w="108" w:type="dxa"/>
          </w:tblCellMar>
        </w:tblPrEx>
        <w:trPr>
          <w:trHeight w:val="580" w:hRule="atLeast"/>
          <w:jc w:val="center"/>
        </w:trPr>
        <w:tc>
          <w:tcPr>
            <w:tcW w:w="70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服务方案</w:t>
            </w:r>
          </w:p>
        </w:tc>
        <w:tc>
          <w:tcPr>
            <w:tcW w:w="98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998" w:type="dxa"/>
            <w:vMerge w:val="restart"/>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项目实施方案</w:t>
            </w:r>
          </w:p>
        </w:tc>
        <w:tc>
          <w:tcPr>
            <w:tcW w:w="4536" w:type="dxa"/>
            <w:tcBorders>
              <w:top w:val="single" w:color="auto" w:sz="4" w:space="0"/>
              <w:left w:val="nil"/>
              <w:right w:val="single" w:color="auto" w:sz="4" w:space="0"/>
            </w:tcBorders>
            <w:noWrap w:val="0"/>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项目实施方案明确详细，调研内容和方案全面可行，涵盖所有执行环节，过程具体，措施合理。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项目实施方案较明确，调研内容和方案较全面，过程较为合理、可行。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项目实施方案不能满足项目需求，过程采取的具体措施不合理、不可行。</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项目执行服务思路</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整体执行方案明确详细，涵盖所有执行环节；项目执行过程采取的具体措施合理、可行，并提供了详细、易于执行的操作流程说明。</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整体执行方案较明确，涵盖大部分执行环节；项目执行过程采取的具体措施较为合理、可行，但操作流程的描述比较笼统、不够具体，可执行性一般。</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执行方案不能满足项目需求；项目执行过程采取的具体措施不合理、不可行。</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restart"/>
            <w:tcBorders>
              <w:left w:val="nil"/>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重难点分析</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重难点分析深刻全面，并提出合理解决方案。</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重难点分析较为全面，提出解决方案较为合理。</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重难点分析不全面，解决方案不合理。</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服务承诺及质量保证措施</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提供服务承诺，有质量、进度等保证措施且措施有力。</w:t>
            </w:r>
            <w:r>
              <w:rPr>
                <w:rFonts w:ascii="宋体" w:hAnsi="宋体" w:cs="宋体"/>
                <w:color w:val="000000"/>
                <w:kern w:val="0"/>
                <w:sz w:val="18"/>
                <w:szCs w:val="18"/>
              </w:rPr>
              <w:t xml:space="preserve"> </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有质量、进度等保证措施，措施欠妥。</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不能提供服务承诺及质量保证措施。</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1167" w:hRule="atLeast"/>
          <w:jc w:val="center"/>
        </w:trPr>
        <w:tc>
          <w:tcPr>
            <w:tcW w:w="704" w:type="dxa"/>
            <w:tcBorders>
              <w:top w:val="nil"/>
              <w:left w:val="single" w:color="auto" w:sz="4" w:space="0"/>
              <w:bottom w:val="nil"/>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91" w:type="dxa"/>
            <w:tcBorders>
              <w:top w:val="nil"/>
              <w:left w:val="single" w:color="auto" w:sz="4" w:space="0"/>
              <w:bottom w:val="nil"/>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人员技术保障</w:t>
            </w:r>
          </w:p>
        </w:tc>
        <w:tc>
          <w:tcPr>
            <w:tcW w:w="988"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9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投入本项目的人员具备</w:t>
            </w:r>
            <w:r>
              <w:rPr>
                <w:rFonts w:hint="eastAsia" w:ascii="宋体" w:hAnsi="宋体" w:cs="宋体"/>
                <w:color w:val="000000"/>
                <w:kern w:val="0"/>
                <w:sz w:val="18"/>
                <w:szCs w:val="18"/>
                <w:highlight w:val="yellow"/>
              </w:rPr>
              <w:t>环境类、市政类</w:t>
            </w:r>
            <w:r>
              <w:rPr>
                <w:rFonts w:hint="eastAsia" w:ascii="宋体" w:hAnsi="宋体" w:cs="宋体"/>
                <w:color w:val="000000"/>
                <w:kern w:val="0"/>
                <w:sz w:val="18"/>
                <w:szCs w:val="18"/>
              </w:rPr>
              <w:t>专业正高级职称每人得3分，副高级职称每人得2分，中级职称每提供1人，最高得12分。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注：人员须提供执业资格证书或职称证书等相关证明文件扫描件或复印件。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0-12</w:t>
            </w:r>
          </w:p>
        </w:tc>
      </w:tr>
      <w:tr>
        <w:tblPrEx>
          <w:tblCellMar>
            <w:top w:w="0" w:type="dxa"/>
            <w:left w:w="108" w:type="dxa"/>
            <w:bottom w:w="0" w:type="dxa"/>
            <w:right w:w="108" w:type="dxa"/>
          </w:tblCellMar>
        </w:tblPrEx>
        <w:trPr>
          <w:trHeight w:val="90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近5年类似项目业绩</w:t>
            </w:r>
          </w:p>
        </w:tc>
        <w:tc>
          <w:tcPr>
            <w:tcW w:w="9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9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具备</w:t>
            </w:r>
            <w:r>
              <w:rPr>
                <w:rFonts w:hint="eastAsia" w:ascii="宋体" w:hAnsi="宋体" w:cs="宋体"/>
                <w:color w:val="000000"/>
                <w:kern w:val="0"/>
                <w:sz w:val="18"/>
                <w:szCs w:val="18"/>
                <w:highlight w:val="yellow"/>
              </w:rPr>
              <w:t>生活垃圾分类、再生资源、环境卫生设施评估或监管等相关业绩</w:t>
            </w:r>
            <w:r>
              <w:rPr>
                <w:rFonts w:hint="eastAsia" w:ascii="宋体" w:hAnsi="宋体" w:cs="宋体"/>
                <w:color w:val="000000"/>
                <w:kern w:val="0"/>
                <w:sz w:val="18"/>
                <w:szCs w:val="18"/>
              </w:rPr>
              <w:t xml:space="preserve">，每项3分。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注：须附中标通知书或合同扫描件。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0-18</w:t>
            </w:r>
          </w:p>
        </w:tc>
      </w:tr>
      <w:tr>
        <w:tblPrEx>
          <w:tblCellMar>
            <w:top w:w="0" w:type="dxa"/>
            <w:left w:w="108" w:type="dxa"/>
            <w:bottom w:w="0" w:type="dxa"/>
            <w:right w:w="108" w:type="dxa"/>
          </w:tblCellMar>
        </w:tblPrEx>
        <w:trPr>
          <w:trHeight w:val="923"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报价</w:t>
            </w:r>
          </w:p>
        </w:tc>
        <w:tc>
          <w:tcPr>
            <w:tcW w:w="9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以满足招标文件要求且投标价格最低的投标报价为评标基准价，其价格分为满分10分。其他投标人的投标报价得分=（评标基准价/投标报价）</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w:t>
            </w:r>
          </w:p>
        </w:tc>
      </w:tr>
      <w:tr>
        <w:tblPrEx>
          <w:tblCellMar>
            <w:top w:w="0" w:type="dxa"/>
            <w:left w:w="108" w:type="dxa"/>
            <w:bottom w:w="0" w:type="dxa"/>
            <w:right w:w="108" w:type="dxa"/>
          </w:tblCellMar>
        </w:tblPrEx>
        <w:trPr>
          <w:trHeight w:val="638" w:hRule="atLeast"/>
          <w:jc w:val="center"/>
        </w:trPr>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9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99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bl>
    <w:p>
      <w:pPr>
        <w:adjustRightInd w:val="0"/>
        <w:snapToGrid w:val="0"/>
        <w:spacing w:line="360" w:lineRule="auto"/>
        <w:rPr>
          <w:rFonts w:hint="eastAsia" w:ascii="宋体" w:hAnsi="宋体"/>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0000000" w:usb3="00000000" w:csb0="2000019F" w:csb1="00000000"/>
  </w:font>
  <w:font w:name="微软简楷体">
    <w:altName w:val="楷体"/>
    <w:panose1 w:val="00000000000000000000"/>
    <w:charset w:val="00"/>
    <w:family w:val="auto"/>
    <w:pitch w:val="default"/>
    <w:sig w:usb0="00000000" w:usb1="00000000" w:usb2="0000001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Zc2wmswEAAFM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3K067QBAABT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7"/>
      </w:rPr>
    </w:pPr>
    <w:r>
      <w:fldChar w:fldCharType="begin"/>
    </w:r>
    <w:r>
      <w:rPr>
        <w:rStyle w:val="37"/>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3F67"/>
    <w:multiLevelType w:val="singleLevel"/>
    <w:tmpl w:val="F77E3F67"/>
    <w:lvl w:ilvl="0" w:tentative="0">
      <w:start w:val="7"/>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70"/>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7"/>
      <w:suff w:val="nothing"/>
      <w:lvlText w:val=""/>
      <w:lvlJc w:val="left"/>
    </w:lvl>
    <w:lvl w:ilvl="4" w:tentative="0">
      <w:start w:val="1"/>
      <w:numFmt w:val="none"/>
      <w:pStyle w:val="8"/>
      <w:suff w:val="nothing"/>
      <w:lvlText w:val=""/>
      <w:lvlJc w:val="left"/>
    </w:lvl>
    <w:lvl w:ilvl="5" w:tentative="0">
      <w:start w:val="1"/>
      <w:numFmt w:val="none"/>
      <w:pStyle w:val="9"/>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8"/>
    <w:rsid w:val="00000D10"/>
    <w:rsid w:val="000026EF"/>
    <w:rsid w:val="00003657"/>
    <w:rsid w:val="00007B86"/>
    <w:rsid w:val="0001050F"/>
    <w:rsid w:val="000157E6"/>
    <w:rsid w:val="00015DC1"/>
    <w:rsid w:val="0002451C"/>
    <w:rsid w:val="0002726B"/>
    <w:rsid w:val="000323ED"/>
    <w:rsid w:val="000329AA"/>
    <w:rsid w:val="00036006"/>
    <w:rsid w:val="00036523"/>
    <w:rsid w:val="00040146"/>
    <w:rsid w:val="00045115"/>
    <w:rsid w:val="00046CDF"/>
    <w:rsid w:val="0005202F"/>
    <w:rsid w:val="00054C0A"/>
    <w:rsid w:val="00055551"/>
    <w:rsid w:val="00065941"/>
    <w:rsid w:val="00065998"/>
    <w:rsid w:val="00070130"/>
    <w:rsid w:val="000721B8"/>
    <w:rsid w:val="00073433"/>
    <w:rsid w:val="0007401E"/>
    <w:rsid w:val="00076487"/>
    <w:rsid w:val="00080387"/>
    <w:rsid w:val="000851EB"/>
    <w:rsid w:val="000867D0"/>
    <w:rsid w:val="00094554"/>
    <w:rsid w:val="00096D5A"/>
    <w:rsid w:val="00097AC2"/>
    <w:rsid w:val="00097F7E"/>
    <w:rsid w:val="000A09C1"/>
    <w:rsid w:val="000A13D8"/>
    <w:rsid w:val="000A194B"/>
    <w:rsid w:val="000A66C7"/>
    <w:rsid w:val="000B2C2D"/>
    <w:rsid w:val="000B325A"/>
    <w:rsid w:val="000B60B6"/>
    <w:rsid w:val="000C0A32"/>
    <w:rsid w:val="000C3283"/>
    <w:rsid w:val="000C36D8"/>
    <w:rsid w:val="000C5FFB"/>
    <w:rsid w:val="000C6CC6"/>
    <w:rsid w:val="000C7490"/>
    <w:rsid w:val="000D2D68"/>
    <w:rsid w:val="000D3808"/>
    <w:rsid w:val="000D3FC5"/>
    <w:rsid w:val="000D4295"/>
    <w:rsid w:val="000D58FA"/>
    <w:rsid w:val="000D7272"/>
    <w:rsid w:val="000D782A"/>
    <w:rsid w:val="000E1C35"/>
    <w:rsid w:val="000E271A"/>
    <w:rsid w:val="000E3243"/>
    <w:rsid w:val="000F192F"/>
    <w:rsid w:val="000F193A"/>
    <w:rsid w:val="000F2310"/>
    <w:rsid w:val="000F3F0A"/>
    <w:rsid w:val="000F5BE7"/>
    <w:rsid w:val="000F73AB"/>
    <w:rsid w:val="001000C6"/>
    <w:rsid w:val="0010276C"/>
    <w:rsid w:val="00104F53"/>
    <w:rsid w:val="0010548F"/>
    <w:rsid w:val="001066EF"/>
    <w:rsid w:val="00107B2E"/>
    <w:rsid w:val="00111B8D"/>
    <w:rsid w:val="00113ECF"/>
    <w:rsid w:val="00114025"/>
    <w:rsid w:val="0011425A"/>
    <w:rsid w:val="00114492"/>
    <w:rsid w:val="00117AF7"/>
    <w:rsid w:val="0012286F"/>
    <w:rsid w:val="0012341F"/>
    <w:rsid w:val="00123F3D"/>
    <w:rsid w:val="0012669D"/>
    <w:rsid w:val="00127160"/>
    <w:rsid w:val="0012731B"/>
    <w:rsid w:val="00132352"/>
    <w:rsid w:val="00132714"/>
    <w:rsid w:val="00134006"/>
    <w:rsid w:val="00141B54"/>
    <w:rsid w:val="00143ED2"/>
    <w:rsid w:val="001536DB"/>
    <w:rsid w:val="00155F70"/>
    <w:rsid w:val="00157A8D"/>
    <w:rsid w:val="001657D2"/>
    <w:rsid w:val="001657E1"/>
    <w:rsid w:val="0016743B"/>
    <w:rsid w:val="00167BB9"/>
    <w:rsid w:val="00172A27"/>
    <w:rsid w:val="00172D76"/>
    <w:rsid w:val="001770EB"/>
    <w:rsid w:val="001808C6"/>
    <w:rsid w:val="0018105A"/>
    <w:rsid w:val="00182F96"/>
    <w:rsid w:val="00187880"/>
    <w:rsid w:val="00193E1D"/>
    <w:rsid w:val="00194B8A"/>
    <w:rsid w:val="0019625F"/>
    <w:rsid w:val="00196726"/>
    <w:rsid w:val="001A0F8F"/>
    <w:rsid w:val="001A1466"/>
    <w:rsid w:val="001A3EBE"/>
    <w:rsid w:val="001A403F"/>
    <w:rsid w:val="001A55EE"/>
    <w:rsid w:val="001B4708"/>
    <w:rsid w:val="001B7FB9"/>
    <w:rsid w:val="001C2574"/>
    <w:rsid w:val="001C271C"/>
    <w:rsid w:val="001D2701"/>
    <w:rsid w:val="001D73B6"/>
    <w:rsid w:val="001E01AE"/>
    <w:rsid w:val="001E6936"/>
    <w:rsid w:val="001E7A44"/>
    <w:rsid w:val="001F0385"/>
    <w:rsid w:val="001F43FB"/>
    <w:rsid w:val="001F5E57"/>
    <w:rsid w:val="001F6678"/>
    <w:rsid w:val="002010A4"/>
    <w:rsid w:val="002014D7"/>
    <w:rsid w:val="0020251C"/>
    <w:rsid w:val="002037B8"/>
    <w:rsid w:val="00203BC7"/>
    <w:rsid w:val="00204511"/>
    <w:rsid w:val="0020489D"/>
    <w:rsid w:val="00206114"/>
    <w:rsid w:val="00210732"/>
    <w:rsid w:val="00216110"/>
    <w:rsid w:val="0022633A"/>
    <w:rsid w:val="00227721"/>
    <w:rsid w:val="00233E90"/>
    <w:rsid w:val="00240C94"/>
    <w:rsid w:val="002468F6"/>
    <w:rsid w:val="002509DD"/>
    <w:rsid w:val="00250E89"/>
    <w:rsid w:val="0025225B"/>
    <w:rsid w:val="00252636"/>
    <w:rsid w:val="002565E3"/>
    <w:rsid w:val="0025710B"/>
    <w:rsid w:val="002609F0"/>
    <w:rsid w:val="00261A77"/>
    <w:rsid w:val="002626CD"/>
    <w:rsid w:val="00262FE2"/>
    <w:rsid w:val="0026516F"/>
    <w:rsid w:val="0026686B"/>
    <w:rsid w:val="00270DAD"/>
    <w:rsid w:val="002716BC"/>
    <w:rsid w:val="00274576"/>
    <w:rsid w:val="00274D7C"/>
    <w:rsid w:val="00283D37"/>
    <w:rsid w:val="002844E6"/>
    <w:rsid w:val="00287AC3"/>
    <w:rsid w:val="00297EBB"/>
    <w:rsid w:val="002A783D"/>
    <w:rsid w:val="002A7860"/>
    <w:rsid w:val="002B1558"/>
    <w:rsid w:val="002B15C9"/>
    <w:rsid w:val="002B76D0"/>
    <w:rsid w:val="002C1C6E"/>
    <w:rsid w:val="002C3353"/>
    <w:rsid w:val="002C3CBA"/>
    <w:rsid w:val="002C4ADA"/>
    <w:rsid w:val="002D0116"/>
    <w:rsid w:val="002D3A26"/>
    <w:rsid w:val="002E45AF"/>
    <w:rsid w:val="002E4AE1"/>
    <w:rsid w:val="002E6544"/>
    <w:rsid w:val="002F07C7"/>
    <w:rsid w:val="002F20A5"/>
    <w:rsid w:val="002F50E7"/>
    <w:rsid w:val="002F6429"/>
    <w:rsid w:val="00300060"/>
    <w:rsid w:val="0030285C"/>
    <w:rsid w:val="00302AD5"/>
    <w:rsid w:val="00302B14"/>
    <w:rsid w:val="00302BC4"/>
    <w:rsid w:val="00304036"/>
    <w:rsid w:val="00310E5E"/>
    <w:rsid w:val="003110DB"/>
    <w:rsid w:val="00313013"/>
    <w:rsid w:val="003141E4"/>
    <w:rsid w:val="00317A6F"/>
    <w:rsid w:val="00321110"/>
    <w:rsid w:val="003226E0"/>
    <w:rsid w:val="00322A9C"/>
    <w:rsid w:val="0032557A"/>
    <w:rsid w:val="0032622F"/>
    <w:rsid w:val="00326BEC"/>
    <w:rsid w:val="00330CEB"/>
    <w:rsid w:val="00332E76"/>
    <w:rsid w:val="00335AA9"/>
    <w:rsid w:val="00335CD0"/>
    <w:rsid w:val="00340D10"/>
    <w:rsid w:val="00347087"/>
    <w:rsid w:val="00362591"/>
    <w:rsid w:val="00367A14"/>
    <w:rsid w:val="003720F3"/>
    <w:rsid w:val="00372B28"/>
    <w:rsid w:val="00373D1C"/>
    <w:rsid w:val="00375D6D"/>
    <w:rsid w:val="00381D23"/>
    <w:rsid w:val="003861BA"/>
    <w:rsid w:val="003900E0"/>
    <w:rsid w:val="00390E0E"/>
    <w:rsid w:val="003927B1"/>
    <w:rsid w:val="00393D2D"/>
    <w:rsid w:val="003959F8"/>
    <w:rsid w:val="00397661"/>
    <w:rsid w:val="003A114C"/>
    <w:rsid w:val="003A133B"/>
    <w:rsid w:val="003A2332"/>
    <w:rsid w:val="003A356A"/>
    <w:rsid w:val="003A50F7"/>
    <w:rsid w:val="003A6FDE"/>
    <w:rsid w:val="003B1199"/>
    <w:rsid w:val="003B1C48"/>
    <w:rsid w:val="003B5C1B"/>
    <w:rsid w:val="003B6A86"/>
    <w:rsid w:val="003B78DA"/>
    <w:rsid w:val="003C5894"/>
    <w:rsid w:val="003C6F28"/>
    <w:rsid w:val="003D0B8C"/>
    <w:rsid w:val="003D1CAA"/>
    <w:rsid w:val="003D3525"/>
    <w:rsid w:val="003D3E87"/>
    <w:rsid w:val="003D4E1A"/>
    <w:rsid w:val="003E1413"/>
    <w:rsid w:val="003E479E"/>
    <w:rsid w:val="003E54AC"/>
    <w:rsid w:val="003E5806"/>
    <w:rsid w:val="00400156"/>
    <w:rsid w:val="00405819"/>
    <w:rsid w:val="00405E5E"/>
    <w:rsid w:val="00405F23"/>
    <w:rsid w:val="004069D0"/>
    <w:rsid w:val="0041035D"/>
    <w:rsid w:val="0041097B"/>
    <w:rsid w:val="004110DA"/>
    <w:rsid w:val="00411AC1"/>
    <w:rsid w:val="004142E0"/>
    <w:rsid w:val="004210FA"/>
    <w:rsid w:val="00421A62"/>
    <w:rsid w:val="0042306D"/>
    <w:rsid w:val="00423A2B"/>
    <w:rsid w:val="00423CCA"/>
    <w:rsid w:val="00424184"/>
    <w:rsid w:val="00425AB3"/>
    <w:rsid w:val="00430451"/>
    <w:rsid w:val="00430A2F"/>
    <w:rsid w:val="00431858"/>
    <w:rsid w:val="00441690"/>
    <w:rsid w:val="00455150"/>
    <w:rsid w:val="004563EE"/>
    <w:rsid w:val="00460143"/>
    <w:rsid w:val="00460F42"/>
    <w:rsid w:val="00463106"/>
    <w:rsid w:val="004662CE"/>
    <w:rsid w:val="004674F5"/>
    <w:rsid w:val="00467EBA"/>
    <w:rsid w:val="004709B5"/>
    <w:rsid w:val="00471570"/>
    <w:rsid w:val="00474E94"/>
    <w:rsid w:val="00480B9D"/>
    <w:rsid w:val="00481153"/>
    <w:rsid w:val="004825FB"/>
    <w:rsid w:val="004826CB"/>
    <w:rsid w:val="0048305C"/>
    <w:rsid w:val="00483659"/>
    <w:rsid w:val="00486D92"/>
    <w:rsid w:val="004928A3"/>
    <w:rsid w:val="00497F61"/>
    <w:rsid w:val="004A05FC"/>
    <w:rsid w:val="004A0A26"/>
    <w:rsid w:val="004A7682"/>
    <w:rsid w:val="004B24F6"/>
    <w:rsid w:val="004B3DE3"/>
    <w:rsid w:val="004B4D97"/>
    <w:rsid w:val="004B5090"/>
    <w:rsid w:val="004B67CC"/>
    <w:rsid w:val="004B6A96"/>
    <w:rsid w:val="004C1504"/>
    <w:rsid w:val="004C5D93"/>
    <w:rsid w:val="004C632A"/>
    <w:rsid w:val="004D1AF5"/>
    <w:rsid w:val="004D40DE"/>
    <w:rsid w:val="004D4140"/>
    <w:rsid w:val="004D6E2D"/>
    <w:rsid w:val="004E093D"/>
    <w:rsid w:val="004E1FA1"/>
    <w:rsid w:val="004E511E"/>
    <w:rsid w:val="004E55AA"/>
    <w:rsid w:val="004E6C38"/>
    <w:rsid w:val="004F154B"/>
    <w:rsid w:val="004F20CD"/>
    <w:rsid w:val="005021BE"/>
    <w:rsid w:val="0050341F"/>
    <w:rsid w:val="00505133"/>
    <w:rsid w:val="00505E3D"/>
    <w:rsid w:val="005113AB"/>
    <w:rsid w:val="0051213E"/>
    <w:rsid w:val="00512274"/>
    <w:rsid w:val="005219D1"/>
    <w:rsid w:val="005330CD"/>
    <w:rsid w:val="0053397D"/>
    <w:rsid w:val="005401EA"/>
    <w:rsid w:val="00541ED9"/>
    <w:rsid w:val="00545759"/>
    <w:rsid w:val="00546F1A"/>
    <w:rsid w:val="00551275"/>
    <w:rsid w:val="005538BF"/>
    <w:rsid w:val="00554A96"/>
    <w:rsid w:val="00556FC4"/>
    <w:rsid w:val="00557225"/>
    <w:rsid w:val="0056010C"/>
    <w:rsid w:val="005622BD"/>
    <w:rsid w:val="0056282F"/>
    <w:rsid w:val="0056340B"/>
    <w:rsid w:val="00566C47"/>
    <w:rsid w:val="005741C0"/>
    <w:rsid w:val="00574770"/>
    <w:rsid w:val="00574CB5"/>
    <w:rsid w:val="00575736"/>
    <w:rsid w:val="00576F61"/>
    <w:rsid w:val="00577922"/>
    <w:rsid w:val="00580806"/>
    <w:rsid w:val="00583CAC"/>
    <w:rsid w:val="005848CF"/>
    <w:rsid w:val="00586DA9"/>
    <w:rsid w:val="005871B2"/>
    <w:rsid w:val="00587529"/>
    <w:rsid w:val="00587AD0"/>
    <w:rsid w:val="00590F34"/>
    <w:rsid w:val="00591D48"/>
    <w:rsid w:val="0059487F"/>
    <w:rsid w:val="00594AD0"/>
    <w:rsid w:val="00595318"/>
    <w:rsid w:val="005A0970"/>
    <w:rsid w:val="005B2BD4"/>
    <w:rsid w:val="005B3AFD"/>
    <w:rsid w:val="005B4E57"/>
    <w:rsid w:val="005C1FEE"/>
    <w:rsid w:val="005D163C"/>
    <w:rsid w:val="005E0405"/>
    <w:rsid w:val="005E0578"/>
    <w:rsid w:val="005E1FE8"/>
    <w:rsid w:val="005E26DB"/>
    <w:rsid w:val="005E2F78"/>
    <w:rsid w:val="005E3377"/>
    <w:rsid w:val="005E4997"/>
    <w:rsid w:val="005F1224"/>
    <w:rsid w:val="005F18EB"/>
    <w:rsid w:val="005F2659"/>
    <w:rsid w:val="005F28CB"/>
    <w:rsid w:val="005F29C2"/>
    <w:rsid w:val="005F3899"/>
    <w:rsid w:val="005F3971"/>
    <w:rsid w:val="005F4048"/>
    <w:rsid w:val="005F47EC"/>
    <w:rsid w:val="005F653A"/>
    <w:rsid w:val="00603C56"/>
    <w:rsid w:val="00604A76"/>
    <w:rsid w:val="00607AAE"/>
    <w:rsid w:val="006115FA"/>
    <w:rsid w:val="006129C7"/>
    <w:rsid w:val="0061397F"/>
    <w:rsid w:val="006156C7"/>
    <w:rsid w:val="00617AA5"/>
    <w:rsid w:val="00624DBB"/>
    <w:rsid w:val="006258CB"/>
    <w:rsid w:val="00625C7C"/>
    <w:rsid w:val="00627503"/>
    <w:rsid w:val="00630BF1"/>
    <w:rsid w:val="00631513"/>
    <w:rsid w:val="0063292A"/>
    <w:rsid w:val="00636059"/>
    <w:rsid w:val="00640340"/>
    <w:rsid w:val="006416FE"/>
    <w:rsid w:val="0064192C"/>
    <w:rsid w:val="00641CD0"/>
    <w:rsid w:val="00650F77"/>
    <w:rsid w:val="00652250"/>
    <w:rsid w:val="00653BB3"/>
    <w:rsid w:val="00653DBA"/>
    <w:rsid w:val="00654372"/>
    <w:rsid w:val="006560A2"/>
    <w:rsid w:val="006572B5"/>
    <w:rsid w:val="00663A33"/>
    <w:rsid w:val="00663AFB"/>
    <w:rsid w:val="0067135D"/>
    <w:rsid w:val="006721CA"/>
    <w:rsid w:val="006734D9"/>
    <w:rsid w:val="00673F19"/>
    <w:rsid w:val="00674FDF"/>
    <w:rsid w:val="006867D6"/>
    <w:rsid w:val="00687618"/>
    <w:rsid w:val="00690C55"/>
    <w:rsid w:val="006913BC"/>
    <w:rsid w:val="006916BE"/>
    <w:rsid w:val="00694440"/>
    <w:rsid w:val="00694D5A"/>
    <w:rsid w:val="00696B68"/>
    <w:rsid w:val="006A21AD"/>
    <w:rsid w:val="006A22D5"/>
    <w:rsid w:val="006A711B"/>
    <w:rsid w:val="006C1C20"/>
    <w:rsid w:val="006C461F"/>
    <w:rsid w:val="006C6CAC"/>
    <w:rsid w:val="006D247A"/>
    <w:rsid w:val="006D6C62"/>
    <w:rsid w:val="006D72D0"/>
    <w:rsid w:val="006E346D"/>
    <w:rsid w:val="006E3A13"/>
    <w:rsid w:val="006E681C"/>
    <w:rsid w:val="006E6C20"/>
    <w:rsid w:val="006E7826"/>
    <w:rsid w:val="006F55CF"/>
    <w:rsid w:val="006F651B"/>
    <w:rsid w:val="006F7B9E"/>
    <w:rsid w:val="00703CFF"/>
    <w:rsid w:val="00704CCD"/>
    <w:rsid w:val="00704F74"/>
    <w:rsid w:val="007071EF"/>
    <w:rsid w:val="00707924"/>
    <w:rsid w:val="0071162A"/>
    <w:rsid w:val="00714229"/>
    <w:rsid w:val="00716B13"/>
    <w:rsid w:val="0072547F"/>
    <w:rsid w:val="007265FF"/>
    <w:rsid w:val="00730434"/>
    <w:rsid w:val="00731170"/>
    <w:rsid w:val="00734438"/>
    <w:rsid w:val="0074719F"/>
    <w:rsid w:val="00752176"/>
    <w:rsid w:val="007573D2"/>
    <w:rsid w:val="00761830"/>
    <w:rsid w:val="00764945"/>
    <w:rsid w:val="00765EFB"/>
    <w:rsid w:val="00767185"/>
    <w:rsid w:val="00775C3F"/>
    <w:rsid w:val="0077689B"/>
    <w:rsid w:val="00781B5F"/>
    <w:rsid w:val="00782DD9"/>
    <w:rsid w:val="00785F64"/>
    <w:rsid w:val="00787A94"/>
    <w:rsid w:val="00787F24"/>
    <w:rsid w:val="0079324E"/>
    <w:rsid w:val="00796665"/>
    <w:rsid w:val="00796FC7"/>
    <w:rsid w:val="007A06A4"/>
    <w:rsid w:val="007A4177"/>
    <w:rsid w:val="007B29AB"/>
    <w:rsid w:val="007B6D4D"/>
    <w:rsid w:val="007B7723"/>
    <w:rsid w:val="007C11A1"/>
    <w:rsid w:val="007C2CD8"/>
    <w:rsid w:val="007C2DE2"/>
    <w:rsid w:val="007C5DF8"/>
    <w:rsid w:val="007D0350"/>
    <w:rsid w:val="007D489F"/>
    <w:rsid w:val="007D5433"/>
    <w:rsid w:val="007D5C1A"/>
    <w:rsid w:val="007E2279"/>
    <w:rsid w:val="007E2BC7"/>
    <w:rsid w:val="007E7654"/>
    <w:rsid w:val="007F51A0"/>
    <w:rsid w:val="0080083B"/>
    <w:rsid w:val="0080382A"/>
    <w:rsid w:val="00803C31"/>
    <w:rsid w:val="00806387"/>
    <w:rsid w:val="00807B37"/>
    <w:rsid w:val="008114E1"/>
    <w:rsid w:val="00821796"/>
    <w:rsid w:val="008230E2"/>
    <w:rsid w:val="00823C4E"/>
    <w:rsid w:val="008258BB"/>
    <w:rsid w:val="008264D1"/>
    <w:rsid w:val="00837DE6"/>
    <w:rsid w:val="008437C6"/>
    <w:rsid w:val="00844C06"/>
    <w:rsid w:val="0085158E"/>
    <w:rsid w:val="00862859"/>
    <w:rsid w:val="00863024"/>
    <w:rsid w:val="00867136"/>
    <w:rsid w:val="008730E7"/>
    <w:rsid w:val="00874743"/>
    <w:rsid w:val="008759F6"/>
    <w:rsid w:val="00883B3F"/>
    <w:rsid w:val="00883D3B"/>
    <w:rsid w:val="008841D9"/>
    <w:rsid w:val="0088729F"/>
    <w:rsid w:val="008A6AA4"/>
    <w:rsid w:val="008B3C50"/>
    <w:rsid w:val="008B4856"/>
    <w:rsid w:val="008B5909"/>
    <w:rsid w:val="008C0114"/>
    <w:rsid w:val="008C16C3"/>
    <w:rsid w:val="008C1DC3"/>
    <w:rsid w:val="008C644E"/>
    <w:rsid w:val="008D59B8"/>
    <w:rsid w:val="008D7F2E"/>
    <w:rsid w:val="008E41D1"/>
    <w:rsid w:val="008E5616"/>
    <w:rsid w:val="008F2BD2"/>
    <w:rsid w:val="008F6C60"/>
    <w:rsid w:val="008F7E2D"/>
    <w:rsid w:val="00906D76"/>
    <w:rsid w:val="00910C3A"/>
    <w:rsid w:val="00913710"/>
    <w:rsid w:val="00913FCD"/>
    <w:rsid w:val="00917781"/>
    <w:rsid w:val="00920A86"/>
    <w:rsid w:val="0092262E"/>
    <w:rsid w:val="00922BA5"/>
    <w:rsid w:val="00923B8A"/>
    <w:rsid w:val="00924AB4"/>
    <w:rsid w:val="009254E7"/>
    <w:rsid w:val="009260C3"/>
    <w:rsid w:val="00932988"/>
    <w:rsid w:val="0093644A"/>
    <w:rsid w:val="009374A4"/>
    <w:rsid w:val="00944287"/>
    <w:rsid w:val="00944DC3"/>
    <w:rsid w:val="00945A81"/>
    <w:rsid w:val="00945B27"/>
    <w:rsid w:val="009465A7"/>
    <w:rsid w:val="009477B7"/>
    <w:rsid w:val="00947E87"/>
    <w:rsid w:val="00957CF4"/>
    <w:rsid w:val="0096079A"/>
    <w:rsid w:val="00961CFB"/>
    <w:rsid w:val="00963E0C"/>
    <w:rsid w:val="0096630B"/>
    <w:rsid w:val="00973F85"/>
    <w:rsid w:val="0097462A"/>
    <w:rsid w:val="009833AB"/>
    <w:rsid w:val="00983F1D"/>
    <w:rsid w:val="009841AD"/>
    <w:rsid w:val="00985570"/>
    <w:rsid w:val="00996AA1"/>
    <w:rsid w:val="00996EFF"/>
    <w:rsid w:val="009A38B3"/>
    <w:rsid w:val="009A4BD8"/>
    <w:rsid w:val="009A7BEA"/>
    <w:rsid w:val="009C19DD"/>
    <w:rsid w:val="009C2F34"/>
    <w:rsid w:val="009C4C0E"/>
    <w:rsid w:val="009C774A"/>
    <w:rsid w:val="009D08A4"/>
    <w:rsid w:val="009D2EAA"/>
    <w:rsid w:val="009D577A"/>
    <w:rsid w:val="009D71EF"/>
    <w:rsid w:val="009E75E8"/>
    <w:rsid w:val="009F1092"/>
    <w:rsid w:val="009F3527"/>
    <w:rsid w:val="009F7E21"/>
    <w:rsid w:val="00A000E2"/>
    <w:rsid w:val="00A04445"/>
    <w:rsid w:val="00A04BAC"/>
    <w:rsid w:val="00A061A2"/>
    <w:rsid w:val="00A06633"/>
    <w:rsid w:val="00A1564F"/>
    <w:rsid w:val="00A165F8"/>
    <w:rsid w:val="00A16BA1"/>
    <w:rsid w:val="00A17A36"/>
    <w:rsid w:val="00A21D0E"/>
    <w:rsid w:val="00A25832"/>
    <w:rsid w:val="00A30AF1"/>
    <w:rsid w:val="00A344F7"/>
    <w:rsid w:val="00A472AF"/>
    <w:rsid w:val="00A50820"/>
    <w:rsid w:val="00A520A0"/>
    <w:rsid w:val="00A54C8B"/>
    <w:rsid w:val="00A5700B"/>
    <w:rsid w:val="00A57CF7"/>
    <w:rsid w:val="00A64022"/>
    <w:rsid w:val="00A65A71"/>
    <w:rsid w:val="00A66CB3"/>
    <w:rsid w:val="00A70215"/>
    <w:rsid w:val="00A710AF"/>
    <w:rsid w:val="00A729BC"/>
    <w:rsid w:val="00A72D41"/>
    <w:rsid w:val="00A82B5F"/>
    <w:rsid w:val="00A84ECF"/>
    <w:rsid w:val="00A859C5"/>
    <w:rsid w:val="00A90D52"/>
    <w:rsid w:val="00A91A54"/>
    <w:rsid w:val="00A929C0"/>
    <w:rsid w:val="00A947F2"/>
    <w:rsid w:val="00A9517D"/>
    <w:rsid w:val="00A96867"/>
    <w:rsid w:val="00A978D9"/>
    <w:rsid w:val="00A97959"/>
    <w:rsid w:val="00AA02E0"/>
    <w:rsid w:val="00AA1283"/>
    <w:rsid w:val="00AA163B"/>
    <w:rsid w:val="00AA4425"/>
    <w:rsid w:val="00AB23DD"/>
    <w:rsid w:val="00AB6A86"/>
    <w:rsid w:val="00AC04F2"/>
    <w:rsid w:val="00AC21B2"/>
    <w:rsid w:val="00AC31C7"/>
    <w:rsid w:val="00AC5F1F"/>
    <w:rsid w:val="00AC6653"/>
    <w:rsid w:val="00AC738C"/>
    <w:rsid w:val="00AD761D"/>
    <w:rsid w:val="00AD7C0F"/>
    <w:rsid w:val="00AE4C93"/>
    <w:rsid w:val="00AE4E44"/>
    <w:rsid w:val="00AE4EF5"/>
    <w:rsid w:val="00AE5985"/>
    <w:rsid w:val="00AE7766"/>
    <w:rsid w:val="00AF102D"/>
    <w:rsid w:val="00AF4F52"/>
    <w:rsid w:val="00AF71C4"/>
    <w:rsid w:val="00B034D2"/>
    <w:rsid w:val="00B03B16"/>
    <w:rsid w:val="00B04577"/>
    <w:rsid w:val="00B067A1"/>
    <w:rsid w:val="00B0738C"/>
    <w:rsid w:val="00B13127"/>
    <w:rsid w:val="00B13B5A"/>
    <w:rsid w:val="00B16A8B"/>
    <w:rsid w:val="00B21961"/>
    <w:rsid w:val="00B23FC1"/>
    <w:rsid w:val="00B249B9"/>
    <w:rsid w:val="00B2542C"/>
    <w:rsid w:val="00B25890"/>
    <w:rsid w:val="00B26638"/>
    <w:rsid w:val="00B32B8E"/>
    <w:rsid w:val="00B33CB8"/>
    <w:rsid w:val="00B37E1B"/>
    <w:rsid w:val="00B46E27"/>
    <w:rsid w:val="00B61788"/>
    <w:rsid w:val="00B622F3"/>
    <w:rsid w:val="00B630CF"/>
    <w:rsid w:val="00B63278"/>
    <w:rsid w:val="00B638CA"/>
    <w:rsid w:val="00B66D4C"/>
    <w:rsid w:val="00B71A4F"/>
    <w:rsid w:val="00B7293D"/>
    <w:rsid w:val="00B72E79"/>
    <w:rsid w:val="00B838DA"/>
    <w:rsid w:val="00B84C8E"/>
    <w:rsid w:val="00B85032"/>
    <w:rsid w:val="00B85E85"/>
    <w:rsid w:val="00B87A31"/>
    <w:rsid w:val="00B87D26"/>
    <w:rsid w:val="00B946BC"/>
    <w:rsid w:val="00BA6364"/>
    <w:rsid w:val="00BA6D93"/>
    <w:rsid w:val="00BB218A"/>
    <w:rsid w:val="00BB2EAD"/>
    <w:rsid w:val="00BB3AB0"/>
    <w:rsid w:val="00BB3BAA"/>
    <w:rsid w:val="00BB636F"/>
    <w:rsid w:val="00BC0D67"/>
    <w:rsid w:val="00BC1117"/>
    <w:rsid w:val="00BC7BF9"/>
    <w:rsid w:val="00BD467B"/>
    <w:rsid w:val="00BD56CB"/>
    <w:rsid w:val="00BD7753"/>
    <w:rsid w:val="00BE4DE8"/>
    <w:rsid w:val="00BE615C"/>
    <w:rsid w:val="00BF3076"/>
    <w:rsid w:val="00BF3D7E"/>
    <w:rsid w:val="00BF6F3C"/>
    <w:rsid w:val="00C003B9"/>
    <w:rsid w:val="00C0399C"/>
    <w:rsid w:val="00C1438F"/>
    <w:rsid w:val="00C1447B"/>
    <w:rsid w:val="00C16F1F"/>
    <w:rsid w:val="00C20B8F"/>
    <w:rsid w:val="00C2258E"/>
    <w:rsid w:val="00C25699"/>
    <w:rsid w:val="00C2614D"/>
    <w:rsid w:val="00C273AF"/>
    <w:rsid w:val="00C302F7"/>
    <w:rsid w:val="00C31625"/>
    <w:rsid w:val="00C326E4"/>
    <w:rsid w:val="00C33113"/>
    <w:rsid w:val="00C3398F"/>
    <w:rsid w:val="00C34071"/>
    <w:rsid w:val="00C35049"/>
    <w:rsid w:val="00C46FCB"/>
    <w:rsid w:val="00C47448"/>
    <w:rsid w:val="00C4775B"/>
    <w:rsid w:val="00C47E3D"/>
    <w:rsid w:val="00C5126A"/>
    <w:rsid w:val="00C536B7"/>
    <w:rsid w:val="00C55931"/>
    <w:rsid w:val="00C56773"/>
    <w:rsid w:val="00C573A1"/>
    <w:rsid w:val="00C62066"/>
    <w:rsid w:val="00C623FE"/>
    <w:rsid w:val="00C63480"/>
    <w:rsid w:val="00C64BBE"/>
    <w:rsid w:val="00C64CA9"/>
    <w:rsid w:val="00C67597"/>
    <w:rsid w:val="00C67FD9"/>
    <w:rsid w:val="00C71419"/>
    <w:rsid w:val="00C7471D"/>
    <w:rsid w:val="00C767EA"/>
    <w:rsid w:val="00C8109B"/>
    <w:rsid w:val="00C94F85"/>
    <w:rsid w:val="00CA09CC"/>
    <w:rsid w:val="00CA5FF6"/>
    <w:rsid w:val="00CA79C7"/>
    <w:rsid w:val="00CA7C4A"/>
    <w:rsid w:val="00CB3641"/>
    <w:rsid w:val="00CC3034"/>
    <w:rsid w:val="00CD0580"/>
    <w:rsid w:val="00CD1D91"/>
    <w:rsid w:val="00CE11DA"/>
    <w:rsid w:val="00CF5E14"/>
    <w:rsid w:val="00CF79B6"/>
    <w:rsid w:val="00D0185C"/>
    <w:rsid w:val="00D01B3B"/>
    <w:rsid w:val="00D01D08"/>
    <w:rsid w:val="00D056B6"/>
    <w:rsid w:val="00D07611"/>
    <w:rsid w:val="00D20BCE"/>
    <w:rsid w:val="00D21A57"/>
    <w:rsid w:val="00D22C34"/>
    <w:rsid w:val="00D30FCA"/>
    <w:rsid w:val="00D34806"/>
    <w:rsid w:val="00D34816"/>
    <w:rsid w:val="00D415A4"/>
    <w:rsid w:val="00D42635"/>
    <w:rsid w:val="00D45104"/>
    <w:rsid w:val="00D544FC"/>
    <w:rsid w:val="00D54D3B"/>
    <w:rsid w:val="00D569D0"/>
    <w:rsid w:val="00D60BC2"/>
    <w:rsid w:val="00D62CD4"/>
    <w:rsid w:val="00D70FE2"/>
    <w:rsid w:val="00D7295B"/>
    <w:rsid w:val="00D74360"/>
    <w:rsid w:val="00D75B48"/>
    <w:rsid w:val="00D768FF"/>
    <w:rsid w:val="00D806FE"/>
    <w:rsid w:val="00D936C6"/>
    <w:rsid w:val="00DA167E"/>
    <w:rsid w:val="00DA5562"/>
    <w:rsid w:val="00DA646D"/>
    <w:rsid w:val="00DA68CE"/>
    <w:rsid w:val="00DB3C06"/>
    <w:rsid w:val="00DC0075"/>
    <w:rsid w:val="00DC2E80"/>
    <w:rsid w:val="00DC4D4E"/>
    <w:rsid w:val="00DC5D7E"/>
    <w:rsid w:val="00DD0BBF"/>
    <w:rsid w:val="00DD260F"/>
    <w:rsid w:val="00DD5154"/>
    <w:rsid w:val="00DE0237"/>
    <w:rsid w:val="00DE0BB5"/>
    <w:rsid w:val="00DE1F26"/>
    <w:rsid w:val="00DE242E"/>
    <w:rsid w:val="00DE49AF"/>
    <w:rsid w:val="00DE78EA"/>
    <w:rsid w:val="00E03658"/>
    <w:rsid w:val="00E052AD"/>
    <w:rsid w:val="00E054C1"/>
    <w:rsid w:val="00E071C0"/>
    <w:rsid w:val="00E07EA7"/>
    <w:rsid w:val="00E1070E"/>
    <w:rsid w:val="00E129FF"/>
    <w:rsid w:val="00E12C49"/>
    <w:rsid w:val="00E12DCC"/>
    <w:rsid w:val="00E1313B"/>
    <w:rsid w:val="00E31425"/>
    <w:rsid w:val="00E34886"/>
    <w:rsid w:val="00E37964"/>
    <w:rsid w:val="00E416EE"/>
    <w:rsid w:val="00E44782"/>
    <w:rsid w:val="00E44DF9"/>
    <w:rsid w:val="00E47451"/>
    <w:rsid w:val="00E50C6B"/>
    <w:rsid w:val="00E55E18"/>
    <w:rsid w:val="00E603DE"/>
    <w:rsid w:val="00E62359"/>
    <w:rsid w:val="00E6490C"/>
    <w:rsid w:val="00E65ACF"/>
    <w:rsid w:val="00E66E49"/>
    <w:rsid w:val="00E6721F"/>
    <w:rsid w:val="00E675AC"/>
    <w:rsid w:val="00E7176F"/>
    <w:rsid w:val="00E74D17"/>
    <w:rsid w:val="00E75E83"/>
    <w:rsid w:val="00E77C72"/>
    <w:rsid w:val="00E81C0E"/>
    <w:rsid w:val="00E824DA"/>
    <w:rsid w:val="00E871B6"/>
    <w:rsid w:val="00E951DC"/>
    <w:rsid w:val="00E95C38"/>
    <w:rsid w:val="00E966A9"/>
    <w:rsid w:val="00E96C62"/>
    <w:rsid w:val="00EA01D3"/>
    <w:rsid w:val="00EA0CD2"/>
    <w:rsid w:val="00EA0EB3"/>
    <w:rsid w:val="00EA188D"/>
    <w:rsid w:val="00EA7E5F"/>
    <w:rsid w:val="00EB4926"/>
    <w:rsid w:val="00EB535A"/>
    <w:rsid w:val="00EB57A2"/>
    <w:rsid w:val="00EB765F"/>
    <w:rsid w:val="00EC2576"/>
    <w:rsid w:val="00EC3CF7"/>
    <w:rsid w:val="00EC448B"/>
    <w:rsid w:val="00ED0015"/>
    <w:rsid w:val="00ED3A58"/>
    <w:rsid w:val="00ED70A0"/>
    <w:rsid w:val="00EE1FE2"/>
    <w:rsid w:val="00EE3CDE"/>
    <w:rsid w:val="00EE6592"/>
    <w:rsid w:val="00EF2F96"/>
    <w:rsid w:val="00F07993"/>
    <w:rsid w:val="00F149FA"/>
    <w:rsid w:val="00F1660A"/>
    <w:rsid w:val="00F20CA4"/>
    <w:rsid w:val="00F2355D"/>
    <w:rsid w:val="00F23A20"/>
    <w:rsid w:val="00F23D69"/>
    <w:rsid w:val="00F274D8"/>
    <w:rsid w:val="00F32243"/>
    <w:rsid w:val="00F36939"/>
    <w:rsid w:val="00F378A3"/>
    <w:rsid w:val="00F37E5B"/>
    <w:rsid w:val="00F4082E"/>
    <w:rsid w:val="00F4473B"/>
    <w:rsid w:val="00F50224"/>
    <w:rsid w:val="00F503C2"/>
    <w:rsid w:val="00F5074C"/>
    <w:rsid w:val="00F51BAE"/>
    <w:rsid w:val="00F553CE"/>
    <w:rsid w:val="00F55550"/>
    <w:rsid w:val="00F560E9"/>
    <w:rsid w:val="00F56153"/>
    <w:rsid w:val="00F73342"/>
    <w:rsid w:val="00F74C16"/>
    <w:rsid w:val="00F825E2"/>
    <w:rsid w:val="00F82DE0"/>
    <w:rsid w:val="00F82E63"/>
    <w:rsid w:val="00F84DFB"/>
    <w:rsid w:val="00F84F83"/>
    <w:rsid w:val="00F85F04"/>
    <w:rsid w:val="00F865BA"/>
    <w:rsid w:val="00F86CC6"/>
    <w:rsid w:val="00F86E1B"/>
    <w:rsid w:val="00F87EC0"/>
    <w:rsid w:val="00F92D85"/>
    <w:rsid w:val="00F93152"/>
    <w:rsid w:val="00F97262"/>
    <w:rsid w:val="00FB02B9"/>
    <w:rsid w:val="00FB21FB"/>
    <w:rsid w:val="00FC10F6"/>
    <w:rsid w:val="00FC7190"/>
    <w:rsid w:val="00FC7720"/>
    <w:rsid w:val="00FD2A82"/>
    <w:rsid w:val="00FD384A"/>
    <w:rsid w:val="00FD3AF1"/>
    <w:rsid w:val="00FD4FD3"/>
    <w:rsid w:val="00FD5EA8"/>
    <w:rsid w:val="00FD73BE"/>
    <w:rsid w:val="00FD77C5"/>
    <w:rsid w:val="00FD78E6"/>
    <w:rsid w:val="00FE0FD8"/>
    <w:rsid w:val="00FE3336"/>
    <w:rsid w:val="00FE4BFD"/>
    <w:rsid w:val="00FF3385"/>
    <w:rsid w:val="00FF43B6"/>
    <w:rsid w:val="00FF5A8E"/>
    <w:rsid w:val="00FF6E69"/>
    <w:rsid w:val="012C2FF8"/>
    <w:rsid w:val="017805E0"/>
    <w:rsid w:val="02164C2B"/>
    <w:rsid w:val="02A276E1"/>
    <w:rsid w:val="030176FB"/>
    <w:rsid w:val="032234B3"/>
    <w:rsid w:val="06020F71"/>
    <w:rsid w:val="0729554C"/>
    <w:rsid w:val="074274DA"/>
    <w:rsid w:val="088B2F95"/>
    <w:rsid w:val="098D3FE4"/>
    <w:rsid w:val="0ABC4767"/>
    <w:rsid w:val="0AEC4250"/>
    <w:rsid w:val="0B16263E"/>
    <w:rsid w:val="0B5C2CE7"/>
    <w:rsid w:val="0C6F244D"/>
    <w:rsid w:val="0CA14054"/>
    <w:rsid w:val="0D051AEA"/>
    <w:rsid w:val="0D3565B7"/>
    <w:rsid w:val="0D647905"/>
    <w:rsid w:val="0E713A07"/>
    <w:rsid w:val="0E9F3870"/>
    <w:rsid w:val="0EBC2F68"/>
    <w:rsid w:val="0F0823D0"/>
    <w:rsid w:val="0F3D0C0E"/>
    <w:rsid w:val="0F6C7CDA"/>
    <w:rsid w:val="0F8B062E"/>
    <w:rsid w:val="0FD53D82"/>
    <w:rsid w:val="0FF98F9C"/>
    <w:rsid w:val="0FFFE00E"/>
    <w:rsid w:val="1082785C"/>
    <w:rsid w:val="10DB741F"/>
    <w:rsid w:val="11165B17"/>
    <w:rsid w:val="11807745"/>
    <w:rsid w:val="11A30BFE"/>
    <w:rsid w:val="123271A2"/>
    <w:rsid w:val="12737FD2"/>
    <w:rsid w:val="135C5DCC"/>
    <w:rsid w:val="13E554AF"/>
    <w:rsid w:val="167F2E25"/>
    <w:rsid w:val="1682657E"/>
    <w:rsid w:val="17386FA6"/>
    <w:rsid w:val="17A86360"/>
    <w:rsid w:val="17D50129"/>
    <w:rsid w:val="195D472D"/>
    <w:rsid w:val="19CD2164"/>
    <w:rsid w:val="1B44460C"/>
    <w:rsid w:val="1D051D57"/>
    <w:rsid w:val="1D2F0A5D"/>
    <w:rsid w:val="1D7522E4"/>
    <w:rsid w:val="1E133E52"/>
    <w:rsid w:val="1E706C24"/>
    <w:rsid w:val="1EE302BC"/>
    <w:rsid w:val="1F3FDD0A"/>
    <w:rsid w:val="1FA96F0D"/>
    <w:rsid w:val="1FB79476"/>
    <w:rsid w:val="1FB93EDA"/>
    <w:rsid w:val="1FF7240D"/>
    <w:rsid w:val="20663D7D"/>
    <w:rsid w:val="20672636"/>
    <w:rsid w:val="20DF7D28"/>
    <w:rsid w:val="21001530"/>
    <w:rsid w:val="231D2924"/>
    <w:rsid w:val="235B390E"/>
    <w:rsid w:val="23F45153"/>
    <w:rsid w:val="24290AE3"/>
    <w:rsid w:val="24894ED1"/>
    <w:rsid w:val="24B90053"/>
    <w:rsid w:val="25A1506C"/>
    <w:rsid w:val="25C96F0A"/>
    <w:rsid w:val="26E32EDA"/>
    <w:rsid w:val="27D17500"/>
    <w:rsid w:val="2808303D"/>
    <w:rsid w:val="28405395"/>
    <w:rsid w:val="285A50CF"/>
    <w:rsid w:val="2AF80BFB"/>
    <w:rsid w:val="2B297A27"/>
    <w:rsid w:val="2BDD8DD2"/>
    <w:rsid w:val="2C734DFA"/>
    <w:rsid w:val="2C944E51"/>
    <w:rsid w:val="2DFE0184"/>
    <w:rsid w:val="2E377F5E"/>
    <w:rsid w:val="2F287FDC"/>
    <w:rsid w:val="2F9A7BA6"/>
    <w:rsid w:val="310B608E"/>
    <w:rsid w:val="313A1810"/>
    <w:rsid w:val="324B7D3A"/>
    <w:rsid w:val="32F553A9"/>
    <w:rsid w:val="34650A83"/>
    <w:rsid w:val="348A6BF0"/>
    <w:rsid w:val="36003636"/>
    <w:rsid w:val="36EE70EC"/>
    <w:rsid w:val="372F84AF"/>
    <w:rsid w:val="375A7BFF"/>
    <w:rsid w:val="376FB52E"/>
    <w:rsid w:val="37BD529E"/>
    <w:rsid w:val="37FF3585"/>
    <w:rsid w:val="38C65B34"/>
    <w:rsid w:val="38C764E2"/>
    <w:rsid w:val="38FFA91E"/>
    <w:rsid w:val="39150A11"/>
    <w:rsid w:val="397B3D76"/>
    <w:rsid w:val="3A143258"/>
    <w:rsid w:val="3A2D5BB5"/>
    <w:rsid w:val="3AF73D7F"/>
    <w:rsid w:val="3B1D45CE"/>
    <w:rsid w:val="3B1F37B9"/>
    <w:rsid w:val="3B266598"/>
    <w:rsid w:val="3C9F4B00"/>
    <w:rsid w:val="3D1F7AE6"/>
    <w:rsid w:val="3D5FBF3E"/>
    <w:rsid w:val="3DB39A3A"/>
    <w:rsid w:val="3DF90D8E"/>
    <w:rsid w:val="3DF96C1C"/>
    <w:rsid w:val="3E244DCA"/>
    <w:rsid w:val="3E7CC1A9"/>
    <w:rsid w:val="3EDA4C82"/>
    <w:rsid w:val="3F2F8BA8"/>
    <w:rsid w:val="3F43FA8C"/>
    <w:rsid w:val="3FBD99B0"/>
    <w:rsid w:val="3FBF5CD7"/>
    <w:rsid w:val="3FD74897"/>
    <w:rsid w:val="3FF74459"/>
    <w:rsid w:val="407B2B39"/>
    <w:rsid w:val="40977C03"/>
    <w:rsid w:val="411D49E5"/>
    <w:rsid w:val="41EF14BA"/>
    <w:rsid w:val="42B52248"/>
    <w:rsid w:val="42C8119D"/>
    <w:rsid w:val="42D90914"/>
    <w:rsid w:val="43771A3C"/>
    <w:rsid w:val="44115CBC"/>
    <w:rsid w:val="447E086E"/>
    <w:rsid w:val="45803914"/>
    <w:rsid w:val="46196EBD"/>
    <w:rsid w:val="47752E5A"/>
    <w:rsid w:val="47FB33CF"/>
    <w:rsid w:val="487B4576"/>
    <w:rsid w:val="48966C13"/>
    <w:rsid w:val="48DC7908"/>
    <w:rsid w:val="48E2521F"/>
    <w:rsid w:val="48E87129"/>
    <w:rsid w:val="49827327"/>
    <w:rsid w:val="49F927E9"/>
    <w:rsid w:val="4A545BD6"/>
    <w:rsid w:val="4B3D5660"/>
    <w:rsid w:val="4B5F83F9"/>
    <w:rsid w:val="4B644349"/>
    <w:rsid w:val="4BF74BF4"/>
    <w:rsid w:val="4D102D7B"/>
    <w:rsid w:val="4D2D232C"/>
    <w:rsid w:val="4E521B85"/>
    <w:rsid w:val="4F3EBA5A"/>
    <w:rsid w:val="4FFFF743"/>
    <w:rsid w:val="51036EEC"/>
    <w:rsid w:val="514E2D70"/>
    <w:rsid w:val="51E355B9"/>
    <w:rsid w:val="5216166A"/>
    <w:rsid w:val="528443F9"/>
    <w:rsid w:val="530C5B09"/>
    <w:rsid w:val="538F4598"/>
    <w:rsid w:val="53B107C3"/>
    <w:rsid w:val="53BD4C6A"/>
    <w:rsid w:val="53F30EA9"/>
    <w:rsid w:val="53FFA2A3"/>
    <w:rsid w:val="542A2224"/>
    <w:rsid w:val="5474B1BF"/>
    <w:rsid w:val="552E5550"/>
    <w:rsid w:val="562B40AB"/>
    <w:rsid w:val="564903F0"/>
    <w:rsid w:val="56571FC1"/>
    <w:rsid w:val="569A32A2"/>
    <w:rsid w:val="569E772A"/>
    <w:rsid w:val="576F0E06"/>
    <w:rsid w:val="57EECFC6"/>
    <w:rsid w:val="585439C6"/>
    <w:rsid w:val="587924B3"/>
    <w:rsid w:val="59250C25"/>
    <w:rsid w:val="597F77E2"/>
    <w:rsid w:val="59E27E21"/>
    <w:rsid w:val="59FD3B57"/>
    <w:rsid w:val="5A110378"/>
    <w:rsid w:val="5B095638"/>
    <w:rsid w:val="5B7A491F"/>
    <w:rsid w:val="5BA33C64"/>
    <w:rsid w:val="5BB55204"/>
    <w:rsid w:val="5C767840"/>
    <w:rsid w:val="5D3543FB"/>
    <w:rsid w:val="5D562184"/>
    <w:rsid w:val="5D6416C7"/>
    <w:rsid w:val="5DD5BCF0"/>
    <w:rsid w:val="5DDB02D8"/>
    <w:rsid w:val="5DF1F774"/>
    <w:rsid w:val="5E68C710"/>
    <w:rsid w:val="5EA130E0"/>
    <w:rsid w:val="5EA165BA"/>
    <w:rsid w:val="5F1E3FB5"/>
    <w:rsid w:val="5F77C106"/>
    <w:rsid w:val="5F7AEE16"/>
    <w:rsid w:val="5F9FE4E5"/>
    <w:rsid w:val="5FD29F57"/>
    <w:rsid w:val="5FE5AA1D"/>
    <w:rsid w:val="5FFD6535"/>
    <w:rsid w:val="5FFECF93"/>
    <w:rsid w:val="60482D91"/>
    <w:rsid w:val="6122442E"/>
    <w:rsid w:val="61B7FB30"/>
    <w:rsid w:val="62AD146E"/>
    <w:rsid w:val="62AD8525"/>
    <w:rsid w:val="62B81204"/>
    <w:rsid w:val="637FBA14"/>
    <w:rsid w:val="64DF5C97"/>
    <w:rsid w:val="65094F6D"/>
    <w:rsid w:val="65551BCC"/>
    <w:rsid w:val="65BE3658"/>
    <w:rsid w:val="66FE298A"/>
    <w:rsid w:val="674C05D3"/>
    <w:rsid w:val="676902B6"/>
    <w:rsid w:val="67871BD6"/>
    <w:rsid w:val="67B3558F"/>
    <w:rsid w:val="67DD3BF7"/>
    <w:rsid w:val="67F62AFE"/>
    <w:rsid w:val="67F7AD1B"/>
    <w:rsid w:val="6846773F"/>
    <w:rsid w:val="693016FA"/>
    <w:rsid w:val="69F134E0"/>
    <w:rsid w:val="6A0C17B7"/>
    <w:rsid w:val="6AD52213"/>
    <w:rsid w:val="6AF97ECD"/>
    <w:rsid w:val="6AFB9924"/>
    <w:rsid w:val="6B6555BF"/>
    <w:rsid w:val="6BCF4C8A"/>
    <w:rsid w:val="6BD727A0"/>
    <w:rsid w:val="6BD7C0EE"/>
    <w:rsid w:val="6BEDEDA5"/>
    <w:rsid w:val="6BF02FA5"/>
    <w:rsid w:val="6BFF7769"/>
    <w:rsid w:val="6D71E2FD"/>
    <w:rsid w:val="6DFA48EB"/>
    <w:rsid w:val="6E94908E"/>
    <w:rsid w:val="6EFD0DD8"/>
    <w:rsid w:val="6F7D69F9"/>
    <w:rsid w:val="6FAF5F11"/>
    <w:rsid w:val="6FBC8E47"/>
    <w:rsid w:val="6FEF37CE"/>
    <w:rsid w:val="6FF5793D"/>
    <w:rsid w:val="700C719B"/>
    <w:rsid w:val="705153EF"/>
    <w:rsid w:val="705AB71B"/>
    <w:rsid w:val="705B5C1C"/>
    <w:rsid w:val="721314DB"/>
    <w:rsid w:val="727B05E0"/>
    <w:rsid w:val="72DDF802"/>
    <w:rsid w:val="7345352C"/>
    <w:rsid w:val="74BD6742"/>
    <w:rsid w:val="74FA34B1"/>
    <w:rsid w:val="759700C3"/>
    <w:rsid w:val="759D48CB"/>
    <w:rsid w:val="76566332"/>
    <w:rsid w:val="765A3B09"/>
    <w:rsid w:val="7677C7AB"/>
    <w:rsid w:val="767B81FB"/>
    <w:rsid w:val="76FD90EB"/>
    <w:rsid w:val="773EDFE4"/>
    <w:rsid w:val="77E9809F"/>
    <w:rsid w:val="77EA9B62"/>
    <w:rsid w:val="77F57894"/>
    <w:rsid w:val="77FF1F7F"/>
    <w:rsid w:val="77FF20E6"/>
    <w:rsid w:val="77FF3D55"/>
    <w:rsid w:val="794F73AC"/>
    <w:rsid w:val="79637D70"/>
    <w:rsid w:val="7A181DF7"/>
    <w:rsid w:val="7A945FF5"/>
    <w:rsid w:val="7ABF21B8"/>
    <w:rsid w:val="7B6D98C2"/>
    <w:rsid w:val="7BB34840"/>
    <w:rsid w:val="7BD5F39A"/>
    <w:rsid w:val="7BFBCDE6"/>
    <w:rsid w:val="7BFD8631"/>
    <w:rsid w:val="7BFEC055"/>
    <w:rsid w:val="7CB69C02"/>
    <w:rsid w:val="7CBE3C11"/>
    <w:rsid w:val="7CDE07EA"/>
    <w:rsid w:val="7CF96092"/>
    <w:rsid w:val="7D3FE348"/>
    <w:rsid w:val="7D632AD4"/>
    <w:rsid w:val="7D8B07F1"/>
    <w:rsid w:val="7DAF59FD"/>
    <w:rsid w:val="7DB34E7B"/>
    <w:rsid w:val="7DCA241A"/>
    <w:rsid w:val="7E2114A5"/>
    <w:rsid w:val="7E3ADB5F"/>
    <w:rsid w:val="7EB503F0"/>
    <w:rsid w:val="7EC73B8E"/>
    <w:rsid w:val="7ECD2AE1"/>
    <w:rsid w:val="7EDD8887"/>
    <w:rsid w:val="7EDF3143"/>
    <w:rsid w:val="7F29578E"/>
    <w:rsid w:val="7F59631B"/>
    <w:rsid w:val="7F5F9BFF"/>
    <w:rsid w:val="7F72DE97"/>
    <w:rsid w:val="7F75B75F"/>
    <w:rsid w:val="7F762103"/>
    <w:rsid w:val="7F7CAC00"/>
    <w:rsid w:val="7F7CDDB4"/>
    <w:rsid w:val="7FAE0998"/>
    <w:rsid w:val="7FBA7C9E"/>
    <w:rsid w:val="7FCE8083"/>
    <w:rsid w:val="7FD30337"/>
    <w:rsid w:val="7FF42A36"/>
    <w:rsid w:val="7FF66705"/>
    <w:rsid w:val="7FFA7F63"/>
    <w:rsid w:val="7FFB9400"/>
    <w:rsid w:val="7FFF3AC4"/>
    <w:rsid w:val="7FFF4E93"/>
    <w:rsid w:val="7FFF85CB"/>
    <w:rsid w:val="88F9B090"/>
    <w:rsid w:val="8C7F0F8C"/>
    <w:rsid w:val="8EDF71F5"/>
    <w:rsid w:val="8FDD9D84"/>
    <w:rsid w:val="9CDFB566"/>
    <w:rsid w:val="A55E95F0"/>
    <w:rsid w:val="AFD24A29"/>
    <w:rsid w:val="B3FD4BEF"/>
    <w:rsid w:val="B557C5D3"/>
    <w:rsid w:val="B65DDA53"/>
    <w:rsid w:val="B7EF24A6"/>
    <w:rsid w:val="B7FDF889"/>
    <w:rsid w:val="B9F77EC2"/>
    <w:rsid w:val="BA7B23C6"/>
    <w:rsid w:val="BAF3721D"/>
    <w:rsid w:val="BBC66B45"/>
    <w:rsid w:val="BBF9B354"/>
    <w:rsid w:val="BD9FD39F"/>
    <w:rsid w:val="BDD9B58D"/>
    <w:rsid w:val="BE6AAB03"/>
    <w:rsid w:val="BF7F8D49"/>
    <w:rsid w:val="BF8F47D5"/>
    <w:rsid w:val="BFAABB2B"/>
    <w:rsid w:val="BFCE8A44"/>
    <w:rsid w:val="C3EA138C"/>
    <w:rsid w:val="C78CE114"/>
    <w:rsid w:val="C7AA5A10"/>
    <w:rsid w:val="C7B6AD92"/>
    <w:rsid w:val="CB57AF29"/>
    <w:rsid w:val="CDFFE03A"/>
    <w:rsid w:val="CF8B3889"/>
    <w:rsid w:val="CFD333CB"/>
    <w:rsid w:val="CFFAE6E8"/>
    <w:rsid w:val="D3FF1908"/>
    <w:rsid w:val="D61D3307"/>
    <w:rsid w:val="D73DFF2A"/>
    <w:rsid w:val="D79CD02F"/>
    <w:rsid w:val="DB47196B"/>
    <w:rsid w:val="DC777089"/>
    <w:rsid w:val="DCF2D7EA"/>
    <w:rsid w:val="DDD36E03"/>
    <w:rsid w:val="DF4E53F4"/>
    <w:rsid w:val="DF5EFBE7"/>
    <w:rsid w:val="DFBF34E4"/>
    <w:rsid w:val="DFC5440B"/>
    <w:rsid w:val="E6FF8BE3"/>
    <w:rsid w:val="E7D58B51"/>
    <w:rsid w:val="E7DE04F8"/>
    <w:rsid w:val="E9EF01F5"/>
    <w:rsid w:val="E9FB2F49"/>
    <w:rsid w:val="EAFC9084"/>
    <w:rsid w:val="EB4AD120"/>
    <w:rsid w:val="EB7FF2BB"/>
    <w:rsid w:val="EBBFC75A"/>
    <w:rsid w:val="EBEA8996"/>
    <w:rsid w:val="EBED738F"/>
    <w:rsid w:val="EBFF662C"/>
    <w:rsid w:val="EBFFC1DB"/>
    <w:rsid w:val="ECF53142"/>
    <w:rsid w:val="ED1F05CD"/>
    <w:rsid w:val="ED1FFF69"/>
    <w:rsid w:val="ED3F2A60"/>
    <w:rsid w:val="EDA3D581"/>
    <w:rsid w:val="EDDFF613"/>
    <w:rsid w:val="EE3F1D4B"/>
    <w:rsid w:val="EECFBAFD"/>
    <w:rsid w:val="EFEF476B"/>
    <w:rsid w:val="EFFF16CD"/>
    <w:rsid w:val="EFFF8957"/>
    <w:rsid w:val="EFFFE9C7"/>
    <w:rsid w:val="F3BB74C3"/>
    <w:rsid w:val="F4AE7087"/>
    <w:rsid w:val="F5FF0B9A"/>
    <w:rsid w:val="F5FF0D9C"/>
    <w:rsid w:val="F7F61D00"/>
    <w:rsid w:val="F7FA6688"/>
    <w:rsid w:val="F7FABD3B"/>
    <w:rsid w:val="F7FB6FF9"/>
    <w:rsid w:val="F9AB9AE2"/>
    <w:rsid w:val="F9FF62BB"/>
    <w:rsid w:val="FACF6F49"/>
    <w:rsid w:val="FB2B3C33"/>
    <w:rsid w:val="FB2EF75E"/>
    <w:rsid w:val="FBB65344"/>
    <w:rsid w:val="FBBF4F34"/>
    <w:rsid w:val="FBEDD781"/>
    <w:rsid w:val="FBFC47D1"/>
    <w:rsid w:val="FCEB8BC8"/>
    <w:rsid w:val="FD5ACFAE"/>
    <w:rsid w:val="FD5B8B8D"/>
    <w:rsid w:val="FDA755A4"/>
    <w:rsid w:val="FEDB0D3F"/>
    <w:rsid w:val="FEFFD700"/>
    <w:rsid w:val="FF3BB24A"/>
    <w:rsid w:val="FF57C080"/>
    <w:rsid w:val="FF5C1DF1"/>
    <w:rsid w:val="FF67B537"/>
    <w:rsid w:val="FF7F0869"/>
    <w:rsid w:val="FF7F0EB7"/>
    <w:rsid w:val="FFB8FDDE"/>
    <w:rsid w:val="FFDDD4B7"/>
    <w:rsid w:val="FFEF6F96"/>
    <w:rsid w:val="FFEFCC7A"/>
    <w:rsid w:val="FFF524EB"/>
    <w:rsid w:val="FFF70E34"/>
    <w:rsid w:val="FFFB9404"/>
    <w:rsid w:val="FFFF8F09"/>
    <w:rsid w:val="FFFF9326"/>
    <w:rsid w:val="FFFF94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4">
    <w:name w:val="heading 2"/>
    <w:basedOn w:val="1"/>
    <w:next w:val="1"/>
    <w:qFormat/>
    <w:uiPriority w:val="0"/>
    <w:pPr>
      <w:keepNext/>
      <w:keepLines/>
      <w:adjustRightInd w:val="0"/>
      <w:snapToGrid w:val="0"/>
      <w:jc w:val="center"/>
      <w:outlineLvl w:val="1"/>
    </w:pPr>
    <w:rPr>
      <w:rFonts w:ascii="Arial" w:hAnsi="Arial" w:eastAsia="楷体"/>
      <w:b/>
      <w:bCs/>
      <w:sz w:val="24"/>
      <w:szCs w:val="32"/>
    </w:rPr>
  </w:style>
  <w:style w:type="paragraph" w:styleId="5">
    <w:name w:val="heading 3"/>
    <w:basedOn w:val="1"/>
    <w:next w:val="6"/>
    <w:qFormat/>
    <w:uiPriority w:val="0"/>
    <w:pPr>
      <w:keepNext/>
      <w:keepLines/>
      <w:spacing w:before="260" w:after="260" w:line="413" w:lineRule="auto"/>
      <w:outlineLvl w:val="2"/>
    </w:pPr>
    <w:rPr>
      <w:b/>
      <w:sz w:val="32"/>
      <w:szCs w:val="20"/>
    </w:rPr>
  </w:style>
  <w:style w:type="paragraph" w:styleId="7">
    <w:name w:val="heading 4"/>
    <w:basedOn w:val="1"/>
    <w:next w:val="1"/>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qFormat/>
    <w:uiPriority w:val="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9">
    <w:name w:val="heading 6"/>
    <w:basedOn w:val="1"/>
    <w:next w:val="1"/>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Plain Text"/>
    <w:basedOn w:val="1"/>
    <w:link w:val="45"/>
    <w:qFormat/>
    <w:uiPriority w:val="0"/>
    <w:rPr>
      <w:rFonts w:ascii="宋体" w:hAnsi="Courier New"/>
      <w:sz w:val="19"/>
      <w:szCs w:val="20"/>
    </w:rPr>
  </w:style>
  <w:style w:type="paragraph" w:styleId="6">
    <w:name w:val="Normal Indent"/>
    <w:basedOn w:val="1"/>
    <w:next w:val="1"/>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44"/>
    <w:qFormat/>
    <w:uiPriority w:val="0"/>
    <w:pPr>
      <w:jc w:val="left"/>
    </w:pPr>
  </w:style>
  <w:style w:type="paragraph" w:styleId="15">
    <w:name w:val="Body Text"/>
    <w:basedOn w:val="1"/>
    <w:next w:val="16"/>
    <w:qFormat/>
    <w:uiPriority w:val="0"/>
    <w:pPr>
      <w:spacing w:after="120"/>
    </w:pPr>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7">
    <w:name w:val="Body Text Indent"/>
    <w:basedOn w:val="1"/>
    <w:next w:val="18"/>
    <w:qFormat/>
    <w:uiPriority w:val="0"/>
    <w:pPr>
      <w:widowControl/>
      <w:autoSpaceDE w:val="0"/>
      <w:autoSpaceDN w:val="0"/>
      <w:adjustRightInd w:val="0"/>
      <w:spacing w:line="460" w:lineRule="exact"/>
      <w:ind w:firstLine="570"/>
      <w:jc w:val="left"/>
    </w:pPr>
    <w:rPr>
      <w:rFonts w:ascii="宋体"/>
      <w:kern w:val="0"/>
      <w:sz w:val="24"/>
      <w:szCs w:val="20"/>
    </w:rPr>
  </w:style>
  <w:style w:type="paragraph" w:customStyle="1" w:styleId="18">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footnote text"/>
    <w:basedOn w:val="1"/>
    <w:qFormat/>
    <w:uiPriority w:val="0"/>
    <w:pPr>
      <w:snapToGrid w:val="0"/>
      <w:jc w:val="left"/>
    </w:pPr>
    <w:rPr>
      <w:sz w:val="18"/>
    </w:rPr>
  </w:style>
  <w:style w:type="paragraph" w:styleId="20">
    <w:name w:val="toc 3"/>
    <w:basedOn w:val="1"/>
    <w:next w:val="1"/>
    <w:qFormat/>
    <w:uiPriority w:val="39"/>
    <w:pPr>
      <w:ind w:left="840" w:leftChars="400"/>
    </w:pPr>
  </w:style>
  <w:style w:type="paragraph" w:styleId="21">
    <w:name w:val="Date"/>
    <w:basedOn w:val="1"/>
    <w:next w:val="1"/>
    <w:qFormat/>
    <w:uiPriority w:val="0"/>
    <w:pPr>
      <w:autoSpaceDE w:val="0"/>
      <w:autoSpaceDN w:val="0"/>
      <w:adjustRightInd w:val="0"/>
    </w:pPr>
    <w:rPr>
      <w:rFonts w:ascii="宋体"/>
      <w:kern w:val="0"/>
      <w:sz w:val="28"/>
      <w:szCs w:val="20"/>
    </w:rPr>
  </w:style>
  <w:style w:type="paragraph" w:styleId="22">
    <w:name w:val="Body Text Indent 2"/>
    <w:basedOn w:val="1"/>
    <w:qFormat/>
    <w:uiPriority w:val="0"/>
    <w:pPr>
      <w:spacing w:line="600" w:lineRule="atLeast"/>
      <w:ind w:left="241" w:leftChars="241" w:firstLine="647" w:firstLineChars="231"/>
    </w:pPr>
    <w:rPr>
      <w:sz w:val="28"/>
      <w:szCs w:val="20"/>
    </w:rPr>
  </w:style>
  <w:style w:type="paragraph" w:styleId="23">
    <w:name w:val="Balloon Text"/>
    <w:basedOn w:val="1"/>
    <w:qFormat/>
    <w:uiPriority w:val="0"/>
    <w:rPr>
      <w:sz w:val="18"/>
      <w:szCs w:val="18"/>
    </w:rPr>
  </w:style>
  <w:style w:type="paragraph" w:styleId="24">
    <w:name w:val="footer"/>
    <w:basedOn w:val="1"/>
    <w:link w:val="46"/>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302"/>
      </w:tabs>
    </w:pPr>
  </w:style>
  <w:style w:type="paragraph" w:styleId="27">
    <w:name w:val="Body Text Indent 3"/>
    <w:basedOn w:val="1"/>
    <w:qFormat/>
    <w:uiPriority w:val="0"/>
    <w:pPr>
      <w:widowControl/>
      <w:spacing w:line="360" w:lineRule="auto"/>
      <w:ind w:right="67" w:firstLine="420"/>
    </w:pPr>
    <w:rPr>
      <w:color w:val="FF0000"/>
      <w:sz w:val="24"/>
    </w:rPr>
  </w:style>
  <w:style w:type="paragraph" w:styleId="28">
    <w:name w:val="toc 2"/>
    <w:basedOn w:val="1"/>
    <w:next w:val="1"/>
    <w:qFormat/>
    <w:uiPriority w:val="39"/>
    <w:pPr>
      <w:ind w:left="420" w:leftChars="200"/>
    </w:pPr>
  </w:style>
  <w:style w:type="paragraph" w:styleId="29">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30">
    <w:name w:val="annotation subject"/>
    <w:basedOn w:val="14"/>
    <w:next w:val="14"/>
    <w:link w:val="47"/>
    <w:qFormat/>
    <w:uiPriority w:val="0"/>
    <w:rPr>
      <w:b/>
      <w:bCs/>
    </w:rPr>
  </w:style>
  <w:style w:type="paragraph" w:styleId="31">
    <w:name w:val="Body Text First Indent"/>
    <w:basedOn w:val="15"/>
    <w:next w:val="32"/>
    <w:qFormat/>
    <w:uiPriority w:val="0"/>
    <w:pPr>
      <w:widowControl w:val="0"/>
      <w:spacing w:after="120" w:line="240" w:lineRule="auto"/>
      <w:ind w:firstLine="420" w:firstLineChars="100"/>
    </w:pPr>
    <w:rPr>
      <w:color w:val="auto"/>
      <w:szCs w:val="24"/>
    </w:rPr>
  </w:style>
  <w:style w:type="paragraph" w:styleId="32">
    <w:name w:val="Body Text First Indent 2"/>
    <w:basedOn w:val="17"/>
    <w:next w:val="1"/>
    <w:qFormat/>
    <w:uiPriority w:val="0"/>
    <w:pPr>
      <w:widowControl w:val="0"/>
      <w:autoSpaceDE/>
      <w:autoSpaceDN/>
      <w:adjustRightInd/>
      <w:spacing w:after="120" w:line="360" w:lineRule="auto"/>
      <w:ind w:left="420" w:firstLine="210"/>
      <w:jc w:val="both"/>
    </w:pPr>
    <w:rPr>
      <w:rFonts w:ascii="Times New Roman"/>
      <w:kern w:val="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qFormat/>
    <w:uiPriority w:val="0"/>
    <w:rPr>
      <w:color w:val="CC0000"/>
    </w:rPr>
  </w:style>
  <w:style w:type="character" w:styleId="40">
    <w:name w:val="Hyperlink"/>
    <w:qFormat/>
    <w:uiPriority w:val="99"/>
    <w:rPr>
      <w:color w:val="0000FF"/>
      <w:u w:val="single"/>
    </w:rPr>
  </w:style>
  <w:style w:type="character" w:styleId="41">
    <w:name w:val="annotation reference"/>
    <w:basedOn w:val="35"/>
    <w:qFormat/>
    <w:uiPriority w:val="0"/>
    <w:rPr>
      <w:sz w:val="21"/>
      <w:szCs w:val="21"/>
    </w:rPr>
  </w:style>
  <w:style w:type="character" w:styleId="42">
    <w:name w:val="HTML Cite"/>
    <w:qFormat/>
    <w:uiPriority w:val="0"/>
    <w:rPr>
      <w:color w:val="008000"/>
    </w:rPr>
  </w:style>
  <w:style w:type="character" w:customStyle="1" w:styleId="43">
    <w:name w:val="标题 1 字符"/>
    <w:link w:val="3"/>
    <w:qFormat/>
    <w:uiPriority w:val="0"/>
    <w:rPr>
      <w:rFonts w:eastAsia="楷体"/>
      <w:b/>
      <w:bCs/>
      <w:kern w:val="44"/>
      <w:sz w:val="36"/>
      <w:szCs w:val="44"/>
    </w:rPr>
  </w:style>
  <w:style w:type="character" w:customStyle="1" w:styleId="44">
    <w:name w:val="批注文字 字符"/>
    <w:link w:val="14"/>
    <w:qFormat/>
    <w:uiPriority w:val="0"/>
    <w:rPr>
      <w:kern w:val="2"/>
      <w:sz w:val="21"/>
      <w:szCs w:val="24"/>
    </w:rPr>
  </w:style>
  <w:style w:type="character" w:customStyle="1" w:styleId="45">
    <w:name w:val="纯文本 字符"/>
    <w:link w:val="2"/>
    <w:qFormat/>
    <w:uiPriority w:val="0"/>
    <w:rPr>
      <w:rFonts w:ascii="宋体" w:hAnsi="Courier New"/>
      <w:kern w:val="2"/>
      <w:sz w:val="19"/>
    </w:rPr>
  </w:style>
  <w:style w:type="character" w:customStyle="1" w:styleId="46">
    <w:name w:val="页脚 字符"/>
    <w:link w:val="24"/>
    <w:qFormat/>
    <w:locked/>
    <w:uiPriority w:val="0"/>
    <w:rPr>
      <w:rFonts w:eastAsia="宋体"/>
      <w:kern w:val="2"/>
      <w:sz w:val="18"/>
      <w:szCs w:val="18"/>
      <w:lang w:val="en-US" w:eastAsia="zh-CN" w:bidi="ar-SA"/>
    </w:rPr>
  </w:style>
  <w:style w:type="character" w:customStyle="1" w:styleId="47">
    <w:name w:val="批注主题 字符"/>
    <w:link w:val="30"/>
    <w:qFormat/>
    <w:uiPriority w:val="0"/>
  </w:style>
  <w:style w:type="character" w:customStyle="1" w:styleId="48">
    <w:name w:val="aa"/>
    <w:qFormat/>
    <w:uiPriority w:val="0"/>
  </w:style>
  <w:style w:type="character" w:customStyle="1" w:styleId="49">
    <w:name w:val="ca-4"/>
    <w:qFormat/>
    <w:uiPriority w:val="0"/>
  </w:style>
  <w:style w:type="character" w:customStyle="1" w:styleId="50">
    <w:name w:val="bu1"/>
    <w:qFormat/>
    <w:uiPriority w:val="0"/>
    <w:rPr>
      <w:sz w:val="26"/>
      <w:szCs w:val="26"/>
    </w:rPr>
  </w:style>
  <w:style w:type="character" w:customStyle="1" w:styleId="51">
    <w:name w:val="ca-2"/>
    <w:qFormat/>
    <w:uiPriority w:val="0"/>
  </w:style>
  <w:style w:type="paragraph" w:customStyle="1" w:styleId="52">
    <w:name w:val="正文11"/>
    <w:basedOn w:val="1"/>
    <w:qFormat/>
    <w:uiPriority w:val="0"/>
    <w:pPr>
      <w:suppressAutoHyphens/>
    </w:pPr>
    <w:rPr>
      <w:kern w:val="0"/>
      <w:szCs w:val="21"/>
    </w:rPr>
  </w:style>
  <w:style w:type="paragraph" w:customStyle="1" w:styleId="53">
    <w:name w:val="普通 (Web)"/>
    <w:basedOn w:val="1"/>
    <w:qFormat/>
    <w:uiPriority w:val="0"/>
    <w:pPr>
      <w:widowControl/>
      <w:suppressAutoHyphens/>
      <w:spacing w:before="100" w:after="100"/>
      <w:jc w:val="left"/>
    </w:pPr>
    <w:rPr>
      <w:rFonts w:ascii="Arial Unicode MS" w:hAnsi="Arial Unicode MS" w:eastAsia="Arial Unicode MS" w:cs="Courier New"/>
      <w:color w:val="000000"/>
      <w:kern w:val="1"/>
      <w:sz w:val="24"/>
      <w:szCs w:val="20"/>
      <w:lang w:eastAsia="ar-SA"/>
    </w:rPr>
  </w:style>
  <w:style w:type="paragraph" w:customStyle="1" w:styleId="54">
    <w:name w:val="Char1 Char Char Char1"/>
    <w:basedOn w:val="1"/>
    <w:qFormat/>
    <w:uiPriority w:val="0"/>
    <w:rPr>
      <w:rFonts w:ascii="Tahoma" w:hAnsi="Tahoma"/>
      <w:sz w:val="24"/>
      <w:szCs w:val="20"/>
    </w:rPr>
  </w:style>
  <w:style w:type="paragraph" w:styleId="55">
    <w:name w:val="List Paragraph"/>
    <w:basedOn w:val="1"/>
    <w:qFormat/>
    <w:uiPriority w:val="34"/>
    <w:pPr>
      <w:ind w:firstLine="420" w:firstLineChars="200"/>
    </w:pPr>
  </w:style>
  <w:style w:type="paragraph" w:customStyle="1" w:styleId="56">
    <w:name w:val="_Style 51"/>
    <w:unhideWhenUsed/>
    <w:qFormat/>
    <w:uiPriority w:val="99"/>
    <w:rPr>
      <w:rFonts w:ascii="Calibri" w:hAnsi="Calibri" w:eastAsia="宋体" w:cs="Times New Roman"/>
      <w:kern w:val="2"/>
      <w:sz w:val="21"/>
      <w:szCs w:val="24"/>
      <w:lang w:val="en-US" w:eastAsia="zh-CN" w:bidi="ar-SA"/>
    </w:rPr>
  </w:style>
  <w:style w:type="paragraph" w:customStyle="1" w:styleId="57">
    <w:name w:val="列出段落3"/>
    <w:basedOn w:val="1"/>
    <w:unhideWhenUsed/>
    <w:qFormat/>
    <w:uiPriority w:val="99"/>
    <w:pPr>
      <w:ind w:firstLine="420" w:firstLineChars="200"/>
    </w:pPr>
  </w:style>
  <w:style w:type="paragraph" w:customStyle="1" w:styleId="58">
    <w:name w:val="_Style 1"/>
    <w:basedOn w:val="1"/>
    <w:qFormat/>
    <w:uiPriority w:val="34"/>
    <w:pPr>
      <w:ind w:firstLine="420" w:firstLineChars="200"/>
    </w:pPr>
  </w:style>
  <w:style w:type="paragraph" w:customStyle="1" w:styleId="59">
    <w:name w:val="列出段落1"/>
    <w:basedOn w:val="1"/>
    <w:qFormat/>
    <w:uiPriority w:val="34"/>
    <w:pPr>
      <w:ind w:firstLine="420" w:firstLineChars="200"/>
    </w:pPr>
  </w:style>
  <w:style w:type="paragraph" w:customStyle="1" w:styleId="60">
    <w:name w:val="正文1"/>
    <w:basedOn w:val="1"/>
    <w:qFormat/>
    <w:uiPriority w:val="0"/>
    <w:pPr>
      <w:spacing w:line="480" w:lineRule="exact"/>
      <w:ind w:firstLine="480" w:firstLineChars="200"/>
    </w:pPr>
    <w:rPr>
      <w:rFonts w:ascii="宋体"/>
      <w:sz w:val="24"/>
      <w:szCs w:val="20"/>
    </w:rPr>
  </w:style>
  <w:style w:type="paragraph" w:customStyle="1" w:styleId="61">
    <w:name w:val="WW-普通文字"/>
    <w:basedOn w:val="1"/>
    <w:qFormat/>
    <w:uiPriority w:val="0"/>
    <w:pPr>
      <w:suppressAutoHyphens/>
    </w:pPr>
    <w:rPr>
      <w:rFonts w:ascii="宋体" w:hAnsi="宋体"/>
      <w:kern w:val="1"/>
      <w:szCs w:val="20"/>
      <w:lang w:eastAsia="ar-SA"/>
    </w:rPr>
  </w:style>
  <w:style w:type="paragraph" w:customStyle="1" w:styleId="62">
    <w:name w:val="TOC 标题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63">
    <w:name w:val="Char1"/>
    <w:basedOn w:val="1"/>
    <w:qFormat/>
    <w:uiPriority w:val="0"/>
  </w:style>
  <w:style w:type="paragraph" w:customStyle="1" w:styleId="64">
    <w:name w:val="Header Base"/>
    <w:basedOn w:val="15"/>
    <w:qFormat/>
    <w:uiPriority w:val="0"/>
    <w:pPr>
      <w:keepLines/>
      <w:widowControl/>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65">
    <w:name w:val="列出段落2"/>
    <w:basedOn w:val="1"/>
    <w:qFormat/>
    <w:uiPriority w:val="34"/>
    <w:pPr>
      <w:ind w:firstLine="420" w:firstLineChars="200"/>
    </w:pPr>
  </w:style>
  <w:style w:type="paragraph" w:customStyle="1" w:styleId="66">
    <w:name w:val="xl24"/>
    <w:basedOn w:val="1"/>
    <w:qFormat/>
    <w:uiPriority w:val="0"/>
    <w:pPr>
      <w:widowControl/>
      <w:spacing w:before="100" w:after="100"/>
      <w:jc w:val="center"/>
    </w:pPr>
    <w:rPr>
      <w:rFonts w:ascii="宋体" w:hAnsi="宋体"/>
      <w:kern w:val="0"/>
      <w:sz w:val="24"/>
      <w:szCs w:val="20"/>
    </w:rPr>
  </w:style>
  <w:style w:type="paragraph" w:customStyle="1" w:styleId="67">
    <w:name w:val="_Style 62"/>
    <w:basedOn w:val="3"/>
    <w:next w:val="1"/>
    <w:qFormat/>
    <w:uiPriority w:val="39"/>
    <w:pPr>
      <w:widowControl/>
      <w:adjustRightInd/>
      <w:snapToGrid/>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68">
    <w:name w:val="Char"/>
    <w:basedOn w:val="1"/>
    <w:qFormat/>
    <w:uiPriority w:val="0"/>
  </w:style>
  <w:style w:type="paragraph" w:customStyle="1" w:styleId="69">
    <w:name w:val="ÕýÎÄ"/>
    <w:qFormat/>
    <w:uiPriority w:val="0"/>
    <w:pPr>
      <w:widowControl w:val="0"/>
      <w:overflowPunct w:val="0"/>
      <w:autoSpaceDE w:val="0"/>
      <w:autoSpaceDN w:val="0"/>
      <w:adjustRightInd w:val="0"/>
      <w:jc w:val="both"/>
      <w:textAlignment w:val="baseline"/>
    </w:pPr>
    <w:rPr>
      <w:rFonts w:ascii="Calibri" w:hAnsi="Calibri" w:eastAsia="宋体" w:cs="Times New Roman"/>
      <w:kern w:val="2"/>
      <w:sz w:val="21"/>
      <w:lang w:val="en-US" w:eastAsia="zh-CN" w:bidi="ar-SA"/>
    </w:rPr>
  </w:style>
  <w:style w:type="paragraph" w:customStyle="1" w:styleId="70">
    <w:name w:val="样式1"/>
    <w:basedOn w:val="1"/>
    <w:qFormat/>
    <w:uiPriority w:val="0"/>
    <w:pPr>
      <w:numPr>
        <w:ilvl w:val="0"/>
        <w:numId w:val="1"/>
      </w:numPr>
      <w:tabs>
        <w:tab w:val="left" w:pos="753"/>
      </w:tabs>
    </w:pPr>
    <w:rPr>
      <w:rFonts w:ascii="宋体" w:hAnsi="宋体"/>
      <w:szCs w:val="21"/>
    </w:rPr>
  </w:style>
  <w:style w:type="paragraph" w:customStyle="1" w:styleId="71">
    <w:name w:val="正文格式"/>
    <w:basedOn w:val="15"/>
    <w:qFormat/>
    <w:uiPriority w:val="0"/>
    <w:pPr>
      <w:tabs>
        <w:tab w:val="left" w:pos="567"/>
      </w:tabs>
      <w:spacing w:beforeLines="50" w:line="360" w:lineRule="auto"/>
      <w:ind w:firstLine="480" w:firstLineChars="200"/>
    </w:pPr>
    <w:rPr>
      <w:rFonts w:ascii="宋体" w:hAnsi="宋体"/>
      <w:kern w:val="0"/>
      <w:sz w:val="24"/>
      <w:lang w:val="en-GB"/>
    </w:rPr>
  </w:style>
  <w:style w:type="paragraph" w:customStyle="1" w:styleId="72">
    <w:name w:val="style4"/>
    <w:basedOn w:val="1"/>
    <w:next w:val="73"/>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2"/>
    <w:basedOn w:val="1"/>
    <w:next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48</Pages>
  <Words>15629</Words>
  <Characters>16592</Characters>
  <Lines>184</Lines>
  <Paragraphs>51</Paragraphs>
  <TotalTime>25</TotalTime>
  <ScaleCrop>false</ScaleCrop>
  <LinksUpToDate>false</LinksUpToDate>
  <CharactersWithSpaces>17451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2022-06-22T06:56:00Z</dcterms:created>
  <dc:creator>jjy</dc:creator>
  <cp:lastModifiedBy> </cp:lastModifiedBy>
  <cp:lastPrinted>2024-04-04T01:03:00Z</cp:lastPrinted>
  <dcterms:modified xsi:type="dcterms:W3CDTF">2025-06-20T17:03:44Z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284B8E29E9FD4DC08155B96F2AC12718_13</vt:lpwstr>
  </property>
  <property fmtid="{D5CDD505-2E9C-101B-9397-08002B2CF9AE}" pid="4" name="KSOTemplateDocerSaveRecord">
    <vt:lpwstr>eyJoZGlkIjoiYjczZTM3MTVhN2NlMWNjNWFhZWM5NWZkYTQ4NWNjYjQiLCJ1c2VySWQiOiIzMzU4MzU2OTAifQ==</vt:lpwstr>
  </property>
</Properties>
</file>